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СОВЕТ ДЕПУТАТОВ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МУНИЦИПАЛЬНОГО ОБРАЗОВАНИЯ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СВЕТЛЫЙ СЕЛЬСОВЕТ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САКМАРСКОГО РАЙОНА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ОРЕНБУРГСКОЙ ОБЛАСТИ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ПЕРВОГО СОЗЫВА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</w:p>
    <w:p w:rsidR="00450781" w:rsidRDefault="00450781" w:rsidP="007C327A">
      <w:pPr>
        <w:pStyle w:val="a6"/>
        <w:jc w:val="center"/>
        <w:rPr>
          <w:rFonts w:ascii="Times New Roman" w:hAnsi="Times New Roman"/>
          <w:b/>
          <w:bCs/>
          <w:sz w:val="32"/>
          <w:szCs w:val="32"/>
        </w:rPr>
      </w:pPr>
      <w:r w:rsidRPr="007C327A">
        <w:rPr>
          <w:rFonts w:ascii="Times New Roman" w:hAnsi="Times New Roman"/>
          <w:b/>
          <w:bCs/>
          <w:sz w:val="32"/>
          <w:szCs w:val="32"/>
        </w:rPr>
        <w:t>РЕШЕНИЕ</w:t>
      </w:r>
    </w:p>
    <w:p w:rsidR="007C327A" w:rsidRDefault="007C327A" w:rsidP="007C327A">
      <w:pPr>
        <w:pStyle w:val="a6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</w:p>
    <w:p w:rsidR="00450781" w:rsidRPr="007C327A" w:rsidRDefault="00450781" w:rsidP="007C327A">
      <w:pPr>
        <w:pStyle w:val="a6"/>
        <w:rPr>
          <w:rFonts w:ascii="Times New Roman" w:hAnsi="Times New Roman"/>
          <w:b/>
          <w:bCs/>
          <w:sz w:val="32"/>
          <w:szCs w:val="32"/>
        </w:rPr>
      </w:pPr>
      <w:r w:rsidRPr="007C327A">
        <w:rPr>
          <w:rFonts w:ascii="Times New Roman" w:hAnsi="Times New Roman"/>
          <w:b/>
          <w:bCs/>
          <w:sz w:val="32"/>
          <w:szCs w:val="32"/>
        </w:rPr>
        <w:t>от      25.06.2014                                                                               № 46</w:t>
      </w: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50781" w:rsidRPr="007C327A" w:rsidRDefault="00450781" w:rsidP="007C327A">
      <w:pPr>
        <w:pStyle w:val="a6"/>
        <w:jc w:val="both"/>
        <w:rPr>
          <w:rFonts w:ascii="Times New Roman" w:hAnsi="Times New Roman"/>
          <w:bCs/>
          <w:sz w:val="32"/>
          <w:szCs w:val="32"/>
        </w:rPr>
      </w:pPr>
    </w:p>
    <w:p w:rsidR="00450781" w:rsidRPr="007C327A" w:rsidRDefault="00450781" w:rsidP="007C327A">
      <w:pPr>
        <w:pStyle w:val="a6"/>
        <w:jc w:val="center"/>
        <w:rPr>
          <w:rFonts w:ascii="Times New Roman" w:hAnsi="Times New Roman"/>
          <w:b/>
          <w:bCs/>
          <w:sz w:val="32"/>
          <w:szCs w:val="32"/>
        </w:rPr>
      </w:pPr>
      <w:r w:rsidRPr="007C327A">
        <w:rPr>
          <w:rFonts w:ascii="Times New Roman" w:hAnsi="Times New Roman"/>
          <w:b/>
          <w:bCs/>
          <w:sz w:val="32"/>
          <w:szCs w:val="32"/>
        </w:rPr>
        <w:t>«Об утверждении Генерального плана муниципального образования Светлый сельсовет Сакмарского района Оренбургской области»</w:t>
      </w:r>
    </w:p>
    <w:p w:rsidR="00450781" w:rsidRPr="007C327A" w:rsidRDefault="00450781" w:rsidP="007C327A">
      <w:pPr>
        <w:pStyle w:val="a6"/>
        <w:jc w:val="both"/>
        <w:rPr>
          <w:rFonts w:ascii="Times New Roman" w:hAnsi="Times New Roman"/>
          <w:bCs/>
          <w:sz w:val="32"/>
          <w:szCs w:val="32"/>
        </w:rPr>
      </w:pPr>
    </w:p>
    <w:p w:rsidR="00450781" w:rsidRPr="007C327A" w:rsidRDefault="00450781" w:rsidP="007C327A">
      <w:pPr>
        <w:pStyle w:val="a6"/>
        <w:jc w:val="both"/>
        <w:rPr>
          <w:rFonts w:ascii="Times New Roman" w:hAnsi="Times New Roman"/>
          <w:bCs/>
          <w:sz w:val="32"/>
          <w:szCs w:val="32"/>
        </w:rPr>
      </w:pPr>
    </w:p>
    <w:p w:rsidR="00450781" w:rsidRPr="007C327A" w:rsidRDefault="00450781" w:rsidP="007C327A">
      <w:pPr>
        <w:pStyle w:val="a6"/>
        <w:ind w:firstLine="42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</w:rPr>
        <w:t>На основании статей 12,132 Конституции Российской Федерации, статьи 23 и части 13 статьи 24 Градостроительного кодекса Российской Федерации, статьи 35 Федерального закона от 06.10.2003 № 131-ФЗ «Об общих принципах организации местного самоуправления в Российской Федерации», части 10 статьи 14 Закона Оренбургской области от 16.03.2007 № 1037/233-</w:t>
      </w:r>
      <w:r w:rsidRPr="007C327A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7C327A">
        <w:rPr>
          <w:rFonts w:ascii="Times New Roman" w:hAnsi="Times New Roman"/>
          <w:bCs/>
          <w:sz w:val="24"/>
          <w:szCs w:val="24"/>
        </w:rPr>
        <w:t>-ОЗ «О градостроительной деятельности на  территории Оренбургской области», протокола публичных слушаний «О рассмотрении проекта генерального плана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муниципального образования Светлый сельсовет Сакмарского района Оренбургской области от 05.05.2014 года и  постановления муниципального образования Светлый сельсовет Сакмарского района Оренбургской области  от 23.06.2014 № 83-п «Об утверждении  заключения о результатах публичных  слушаний по рассмотрению проекта генерального плана муниципального образования Светлый сельсовет Сакмарского района Оренбургской области и руководствуясь статьями  Устава муниципального </w:t>
      </w:r>
      <w:proofErr w:type="gramStart"/>
      <w:r w:rsidR="004E7768" w:rsidRPr="007C327A">
        <w:rPr>
          <w:rFonts w:ascii="Times New Roman" w:hAnsi="Times New Roman"/>
          <w:bCs/>
          <w:sz w:val="24"/>
          <w:szCs w:val="24"/>
        </w:rPr>
        <w:t>образования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Светлый сельсовет Сакмарского района Оренбургской области</w:t>
      </w:r>
      <w:r w:rsidR="004E7768" w:rsidRPr="007C327A">
        <w:rPr>
          <w:rFonts w:ascii="Times New Roman" w:hAnsi="Times New Roman"/>
          <w:bCs/>
          <w:sz w:val="24"/>
          <w:szCs w:val="24"/>
        </w:rPr>
        <w:t xml:space="preserve"> </w:t>
      </w:r>
      <w:r w:rsidRPr="007C327A">
        <w:rPr>
          <w:rFonts w:ascii="Times New Roman" w:hAnsi="Times New Roman"/>
          <w:bCs/>
          <w:sz w:val="24"/>
          <w:szCs w:val="24"/>
        </w:rPr>
        <w:t>Совет депутатов решил:</w:t>
      </w:r>
    </w:p>
    <w:p w:rsidR="00450781" w:rsidRPr="007C327A" w:rsidRDefault="0045078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77912" w:rsidRPr="007C327A" w:rsidRDefault="004E776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Утвердить Генеральный план </w:t>
      </w:r>
      <w:r w:rsidRPr="007C327A">
        <w:rPr>
          <w:rFonts w:ascii="Times New Roman" w:hAnsi="Times New Roman"/>
          <w:bCs/>
          <w:sz w:val="24"/>
          <w:szCs w:val="24"/>
        </w:rPr>
        <w:t>муниципального образования Светлый сельсовет Сакмарского района Оренбургской области в составе материалов согласно приложению.</w:t>
      </w:r>
    </w:p>
    <w:p w:rsidR="004E7768" w:rsidRPr="007C327A" w:rsidRDefault="004E776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Установить, что настоящее решение Совета вступает в силу с момента его обнародования.</w:t>
      </w:r>
    </w:p>
    <w:p w:rsidR="004E7768" w:rsidRPr="007C327A" w:rsidRDefault="004E776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sz w:val="24"/>
          <w:szCs w:val="24"/>
        </w:rPr>
        <w:t>Контроль  за</w:t>
      </w:r>
      <w:proofErr w:type="gramEnd"/>
      <w:r w:rsidRPr="007C327A">
        <w:rPr>
          <w:rFonts w:ascii="Times New Roman" w:hAnsi="Times New Roman"/>
          <w:sz w:val="24"/>
          <w:szCs w:val="24"/>
        </w:rPr>
        <w:t xml:space="preserve"> исполнением решения оставляю за собой.</w:t>
      </w:r>
    </w:p>
    <w:p w:rsidR="004E7768" w:rsidRPr="007C327A" w:rsidRDefault="004E776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4E7768" w:rsidRDefault="004E776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Глава Светлого сельсовета                                   С. И. Жуков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4E7768" w:rsidRPr="007C327A" w:rsidRDefault="004E776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Разослано: в дело, прокуратуру.</w:t>
      </w:r>
    </w:p>
    <w:p w:rsidR="00C07A86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right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Приложение к Решению</w:t>
      </w:r>
    </w:p>
    <w:p w:rsidR="007C327A" w:rsidRPr="007C327A" w:rsidRDefault="007C327A" w:rsidP="007C327A">
      <w:pPr>
        <w:pStyle w:val="a6"/>
        <w:jc w:val="right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Совета депутатов Светлого сельсовета</w:t>
      </w:r>
    </w:p>
    <w:p w:rsidR="007C327A" w:rsidRPr="007C327A" w:rsidRDefault="007C327A" w:rsidP="007C327A">
      <w:pPr>
        <w:pStyle w:val="a6"/>
        <w:jc w:val="right"/>
        <w:rPr>
          <w:rFonts w:ascii="Times New Roman" w:hAnsi="Times New Roman"/>
          <w:b/>
          <w:sz w:val="32"/>
          <w:szCs w:val="32"/>
        </w:rPr>
      </w:pPr>
      <w:r w:rsidRPr="007C327A">
        <w:rPr>
          <w:rFonts w:ascii="Times New Roman" w:hAnsi="Times New Roman"/>
          <w:b/>
          <w:sz w:val="32"/>
          <w:szCs w:val="32"/>
        </w:rPr>
        <w:t>от   25.06.2014 № 46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C327A">
        <w:rPr>
          <w:rFonts w:ascii="Times New Roman" w:hAnsi="Times New Roman"/>
          <w:b/>
          <w:sz w:val="24"/>
          <w:szCs w:val="24"/>
        </w:rPr>
        <w:t>ГЕНЕРАЛЬНЫЙ ПЛАН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C327A">
        <w:rPr>
          <w:rFonts w:ascii="Times New Roman" w:hAnsi="Times New Roman"/>
          <w:b/>
          <w:sz w:val="24"/>
          <w:szCs w:val="24"/>
        </w:rPr>
        <w:t>МУНИЦИПАЛЬНОГО ОБРАЗОВАНИЯ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C327A">
        <w:rPr>
          <w:rFonts w:ascii="Times New Roman" w:hAnsi="Times New Roman"/>
          <w:b/>
          <w:sz w:val="24"/>
          <w:szCs w:val="24"/>
        </w:rPr>
        <w:t>СВЕТЛЫЙ СЕЛЬСОВЕТ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C327A">
        <w:rPr>
          <w:rFonts w:ascii="Times New Roman" w:hAnsi="Times New Roman"/>
          <w:b/>
          <w:sz w:val="24"/>
          <w:szCs w:val="24"/>
        </w:rPr>
        <w:t>САКМАРСКОГО РАЙОНА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C327A">
        <w:rPr>
          <w:rFonts w:ascii="Times New Roman" w:hAnsi="Times New Roman"/>
          <w:b/>
          <w:sz w:val="24"/>
          <w:szCs w:val="24"/>
        </w:rPr>
        <w:t>ОРЕНБУРГСКОЙ ОБЛАСТИ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C327A">
        <w:rPr>
          <w:rFonts w:ascii="Times New Roman" w:hAnsi="Times New Roman"/>
          <w:b/>
          <w:sz w:val="24"/>
          <w:szCs w:val="24"/>
        </w:rPr>
        <w:t>ТОМ  1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C327A">
        <w:rPr>
          <w:rFonts w:ascii="Times New Roman" w:hAnsi="Times New Roman"/>
          <w:b/>
          <w:color w:val="000000"/>
          <w:sz w:val="24"/>
          <w:szCs w:val="24"/>
        </w:rPr>
        <w:t>ПОЛОЖЕНИЕ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C327A">
        <w:rPr>
          <w:rFonts w:ascii="Times New Roman" w:hAnsi="Times New Roman"/>
          <w:b/>
          <w:color w:val="000000"/>
          <w:sz w:val="24"/>
          <w:szCs w:val="24"/>
        </w:rPr>
        <w:t>О ТЕРРИТОРИАЛЬНОМ ПЛАНИРОВАНИИ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            Заказчик:   Администрация МО Светлый сельсовет Сакмарского района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 xml:space="preserve">Контракт: МК № 039 от 11.11.13 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>Исполнитель:  ООО «Инженерная группа «БСБ»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>Шифр: 039-11.13-ГП</w:t>
      </w:r>
    </w:p>
    <w:p w:rsid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A1E18" w:rsidRPr="007C327A" w:rsidRDefault="003A1E18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Оренбург - 2013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ООО «Инженерная группа «БСБ»</w:t>
      </w:r>
    </w:p>
    <w:p w:rsidR="007C327A" w:rsidRPr="007C327A" w:rsidRDefault="007C327A" w:rsidP="007C32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7C327A" w:rsidRPr="003A1E18" w:rsidRDefault="007C327A" w:rsidP="007C327A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7C327A" w:rsidRPr="003A1E18" w:rsidRDefault="007C327A" w:rsidP="00B60F85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3A1E18">
        <w:rPr>
          <w:rFonts w:ascii="Times New Roman" w:hAnsi="Times New Roman"/>
          <w:b/>
          <w:sz w:val="24"/>
          <w:szCs w:val="24"/>
        </w:rPr>
        <w:t>СОСТАВ ГЕНЕРАЛЬНОГО ПЛАНА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5"/>
        <w:gridCol w:w="7255"/>
      </w:tblGrid>
      <w:tr w:rsidR="007C327A" w:rsidRPr="007C327A" w:rsidTr="00225DD9">
        <w:trPr>
          <w:trHeight w:val="717"/>
        </w:trPr>
        <w:tc>
          <w:tcPr>
            <w:tcW w:w="8930" w:type="dxa"/>
            <w:gridSpan w:val="2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ТОМ 1</w:t>
            </w:r>
          </w:p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О ТЕРРИТОРИАЛЬНОМ ПЛАНИРОВАНИИ</w:t>
            </w:r>
          </w:p>
        </w:tc>
      </w:tr>
      <w:tr w:rsidR="007C327A" w:rsidRPr="007C327A" w:rsidTr="00225DD9">
        <w:tc>
          <w:tcPr>
            <w:tcW w:w="167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5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Пояснительная записка (текстовая)</w:t>
            </w:r>
          </w:p>
        </w:tc>
      </w:tr>
      <w:tr w:rsidR="007C327A" w:rsidRPr="007C327A" w:rsidTr="00225DD9">
        <w:tc>
          <w:tcPr>
            <w:tcW w:w="167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5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 материалы</w:t>
            </w:r>
          </w:p>
        </w:tc>
      </w:tr>
      <w:tr w:rsidR="007C327A" w:rsidRPr="007C327A" w:rsidTr="00225DD9">
        <w:trPr>
          <w:trHeight w:val="978"/>
        </w:trPr>
        <w:tc>
          <w:tcPr>
            <w:tcW w:w="8930" w:type="dxa"/>
            <w:gridSpan w:val="2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ТОМ 2</w:t>
            </w:r>
          </w:p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МАТЕРИАЛЫ ПО ОБОСНОВАНИЮ</w:t>
            </w:r>
          </w:p>
        </w:tc>
      </w:tr>
      <w:tr w:rsidR="007C327A" w:rsidRPr="007C327A" w:rsidTr="00225DD9">
        <w:tc>
          <w:tcPr>
            <w:tcW w:w="167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5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Пояснительная записка (текстовая)</w:t>
            </w:r>
          </w:p>
        </w:tc>
      </w:tr>
      <w:tr w:rsidR="007C327A" w:rsidRPr="007C327A" w:rsidTr="00225DD9">
        <w:tc>
          <w:tcPr>
            <w:tcW w:w="167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55" w:type="dxa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 материалы</w:t>
            </w:r>
          </w:p>
        </w:tc>
      </w:tr>
    </w:tbl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Генеральный план состоит из 2-х томов: «Положение о территориальном планировании» (Том 1), «Материалы по обоснованию» (Том</w:t>
      </w:r>
      <w:proofErr w:type="gramStart"/>
      <w:r w:rsidRPr="007C327A">
        <w:rPr>
          <w:rFonts w:ascii="Times New Roman" w:hAnsi="Times New Roman"/>
          <w:sz w:val="24"/>
          <w:szCs w:val="24"/>
        </w:rPr>
        <w:t>2</w:t>
      </w:r>
      <w:proofErr w:type="gramEnd"/>
      <w:r w:rsidRPr="007C327A">
        <w:rPr>
          <w:rFonts w:ascii="Times New Roman" w:hAnsi="Times New Roman"/>
          <w:sz w:val="24"/>
          <w:szCs w:val="24"/>
        </w:rPr>
        <w:t>).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Генеральный план представляется в электронном виде. Проект разработан в программной среде ГИС «</w:t>
      </w:r>
      <w:proofErr w:type="spellStart"/>
      <w:r w:rsidRPr="007C327A">
        <w:rPr>
          <w:rFonts w:ascii="Times New Roman" w:hAnsi="Times New Roman"/>
          <w:sz w:val="24"/>
          <w:szCs w:val="24"/>
        </w:rPr>
        <w:t>MapInfo</w:t>
      </w:r>
      <w:proofErr w:type="spellEnd"/>
      <w:r w:rsidRPr="007C327A">
        <w:rPr>
          <w:rFonts w:ascii="Times New Roman" w:hAnsi="Times New Roman"/>
          <w:sz w:val="24"/>
          <w:szCs w:val="24"/>
        </w:rPr>
        <w:t>» в составе электронных графических слоёв и связанной с ними атрибутивной базы данных.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Работа выполнена авторским коллективом предприятия градостроительного проектирования  ООО «Инженерная группа «БСБ»: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2" w:type="dxa"/>
        <w:tblLayout w:type="fixed"/>
        <w:tblLook w:val="0000"/>
      </w:tblPr>
      <w:tblGrid>
        <w:gridCol w:w="4650"/>
        <w:gridCol w:w="4635"/>
      </w:tblGrid>
      <w:tr w:rsidR="007C327A" w:rsidRPr="007C327A" w:rsidTr="00225DD9">
        <w:trPr>
          <w:trHeight w:val="978"/>
        </w:trPr>
        <w:tc>
          <w:tcPr>
            <w:tcW w:w="4650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</w:p>
        </w:tc>
        <w:tc>
          <w:tcPr>
            <w:tcW w:w="4635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Бочаров О.В.</w:t>
            </w:r>
          </w:p>
        </w:tc>
      </w:tr>
      <w:tr w:rsidR="007C327A" w:rsidRPr="007C327A" w:rsidTr="00225DD9">
        <w:trPr>
          <w:trHeight w:val="978"/>
        </w:trPr>
        <w:tc>
          <w:tcPr>
            <w:tcW w:w="4650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Главный градостроитель проекта</w:t>
            </w:r>
          </w:p>
        </w:tc>
        <w:tc>
          <w:tcPr>
            <w:tcW w:w="4635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Агишев И.Д.</w:t>
            </w:r>
          </w:p>
        </w:tc>
      </w:tr>
      <w:tr w:rsidR="007C327A" w:rsidRPr="007C327A" w:rsidTr="00225DD9">
        <w:trPr>
          <w:trHeight w:val="978"/>
        </w:trPr>
        <w:tc>
          <w:tcPr>
            <w:tcW w:w="4650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Архитектор</w:t>
            </w:r>
          </w:p>
        </w:tc>
        <w:tc>
          <w:tcPr>
            <w:tcW w:w="4635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Кириченко А.Д.</w:t>
            </w:r>
          </w:p>
        </w:tc>
      </w:tr>
      <w:tr w:rsidR="007C327A" w:rsidRPr="007C327A" w:rsidTr="00225DD9">
        <w:trPr>
          <w:trHeight w:val="978"/>
        </w:trPr>
        <w:tc>
          <w:tcPr>
            <w:tcW w:w="4650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635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7C327A" w:rsidRPr="007C327A" w:rsidTr="00225DD9">
        <w:trPr>
          <w:trHeight w:val="978"/>
        </w:trPr>
        <w:tc>
          <w:tcPr>
            <w:tcW w:w="4650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635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7C327A" w:rsidRPr="007C327A" w:rsidTr="00225DD9">
        <w:trPr>
          <w:trHeight w:val="978"/>
        </w:trPr>
        <w:tc>
          <w:tcPr>
            <w:tcW w:w="4650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635" w:type="dxa"/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Default="007C327A" w:rsidP="003A1E18">
      <w:pPr>
        <w:pStyle w:val="a6"/>
        <w:jc w:val="center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ПЕРЕЧЕНЬ ПРЕДСТАВЛЯЕМЫХ МАТЕРИАЛОВ:</w:t>
      </w:r>
    </w:p>
    <w:p w:rsidR="003A1E18" w:rsidRPr="007C327A" w:rsidRDefault="003A1E18" w:rsidP="003A1E18">
      <w:pPr>
        <w:pStyle w:val="a6"/>
        <w:jc w:val="center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А. ТЕКСТОВЫЕ МАТЕРИАЛЫ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Том 1. Положение о территориальном планировании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- Том 2. Материалы по обоснованию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Б. ГРАФИЧЕСКИЕ МАТЕРИАЛЫ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bookmarkStart w:id="0" w:name="_Toc363549730"/>
      <w:r w:rsidRPr="007C327A">
        <w:rPr>
          <w:rFonts w:ascii="Times New Roman" w:hAnsi="Times New Roman"/>
          <w:sz w:val="24"/>
          <w:szCs w:val="24"/>
        </w:rPr>
        <w:t>Содержание 1 тома (часть А)</w:t>
      </w:r>
      <w:bookmarkEnd w:id="0"/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277FB5">
        <w:rPr>
          <w:rFonts w:ascii="Times New Roman" w:eastAsia="Calibri" w:hAnsi="Times New Roman"/>
          <w:bCs/>
          <w:i/>
          <w:noProof/>
          <w:sz w:val="24"/>
          <w:szCs w:val="24"/>
          <w:lang w:eastAsia="en-US"/>
        </w:rPr>
        <w:fldChar w:fldCharType="begin"/>
      </w:r>
      <w:r w:rsidR="007C327A" w:rsidRPr="007C327A">
        <w:rPr>
          <w:rFonts w:ascii="Times New Roman" w:eastAsia="Calibri" w:hAnsi="Times New Roman"/>
          <w:i/>
          <w:sz w:val="24"/>
          <w:szCs w:val="24"/>
        </w:rPr>
        <w:instrText xml:space="preserve"> TOC \o "1-3" \h \z \u </w:instrText>
      </w:r>
      <w:r w:rsidRPr="00277FB5">
        <w:rPr>
          <w:rFonts w:ascii="Times New Roman" w:eastAsia="Calibri" w:hAnsi="Times New Roman"/>
          <w:bCs/>
          <w:i/>
          <w:noProof/>
          <w:sz w:val="24"/>
          <w:szCs w:val="24"/>
          <w:lang w:eastAsia="en-US"/>
        </w:rPr>
        <w:fldChar w:fldCharType="separate"/>
      </w:r>
      <w:hyperlink w:anchor="_Toc363549730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Содержание 1 тома (часть А)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_Toc363549730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>3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1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1 СВЕДЕНИЯ ОБ ОБЪЕКТАХ МЕСТНОГО ЗНАЧЕНИЯ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_Toc363549731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>4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2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 xml:space="preserve">1.1 Границы МО </w:t>
        </w:r>
        <w:r w:rsidR="007C327A" w:rsidRPr="007C327A">
          <w:rPr>
            <w:rFonts w:ascii="Times New Roman" w:hAnsi="Times New Roman"/>
            <w:bCs/>
            <w:sz w:val="24"/>
            <w:szCs w:val="24"/>
          </w:rPr>
          <w:t>Светлый</w:t>
        </w:r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 xml:space="preserve"> сельсовет</w:t>
        </w:r>
        <w:r w:rsidR="007C327A" w:rsidRPr="007C327A">
          <w:rPr>
            <w:rStyle w:val="aff0"/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Style w:val="aff0"/>
            <w:rFonts w:ascii="Times New Roman" w:hAnsi="Times New Roman"/>
            <w:webHidden/>
            <w:sz w:val="24"/>
            <w:szCs w:val="24"/>
          </w:rPr>
          <w:fldChar w:fldCharType="begin"/>
        </w:r>
        <w:r w:rsidR="007C327A" w:rsidRPr="007C327A">
          <w:rPr>
            <w:rStyle w:val="aff0"/>
            <w:rFonts w:ascii="Times New Roman" w:hAnsi="Times New Roman"/>
            <w:webHidden/>
            <w:sz w:val="24"/>
            <w:szCs w:val="24"/>
          </w:rPr>
          <w:instrText xml:space="preserve"> PAGEREF _Toc363549732 \h </w:instrText>
        </w:r>
        <w:r w:rsidRPr="007C327A">
          <w:rPr>
            <w:rStyle w:val="aff0"/>
            <w:rFonts w:ascii="Times New Roman" w:hAnsi="Times New Roman"/>
            <w:webHidden/>
            <w:sz w:val="24"/>
            <w:szCs w:val="24"/>
          </w:rPr>
        </w:r>
        <w:r w:rsidRPr="007C327A">
          <w:rPr>
            <w:rStyle w:val="aff0"/>
            <w:rFonts w:ascii="Times New Roman" w:hAnsi="Times New Roman"/>
            <w:webHidden/>
            <w:sz w:val="24"/>
            <w:szCs w:val="24"/>
          </w:rPr>
          <w:fldChar w:fldCharType="separate"/>
        </w:r>
        <w:r w:rsidR="007C327A" w:rsidRPr="007C327A">
          <w:rPr>
            <w:rStyle w:val="aff0"/>
            <w:rFonts w:ascii="Times New Roman" w:hAnsi="Times New Roman"/>
            <w:webHidden/>
            <w:sz w:val="24"/>
            <w:szCs w:val="24"/>
          </w:rPr>
          <w:t>4</w:t>
        </w:r>
        <w:r w:rsidRPr="007C327A">
          <w:rPr>
            <w:rStyle w:val="aff0"/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3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1.2 Объекты местного значения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  <w:t>5</w:t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4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1.3 Зоны с особыми условиями использования территории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  <w:t>7</w:t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5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2 ПАРАМЕТРЫ ФУНКЦИОНАЛЬНЫХ ЗОН И СВЕДЕНИЯ ОБ ОБЪЕКТАХ ФЕДЕРАЛЬНОГО И РЕГИОНАЛЬНОГО ЗНАЧЕНИЯ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  <w:t>9</w:t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6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2.1 Функциональные зоны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  <w:t>9</w:t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549737" w:history="1">
        <w:r w:rsidR="007C327A" w:rsidRPr="007C327A">
          <w:rPr>
            <w:rStyle w:val="aff0"/>
            <w:rFonts w:ascii="Times New Roman" w:hAnsi="Times New Roman"/>
            <w:sz w:val="24"/>
            <w:szCs w:val="24"/>
          </w:rPr>
          <w:t>2.2 Сведения об объектах федерального и регионального значения</w:t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_Toc363549737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7C327A" w:rsidRPr="007C327A">
          <w:rPr>
            <w:rFonts w:ascii="Times New Roman" w:hAnsi="Times New Roman"/>
            <w:webHidden/>
            <w:sz w:val="24"/>
            <w:szCs w:val="24"/>
          </w:rPr>
          <w:t>19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7C327A" w:rsidRPr="007C327A" w:rsidRDefault="00277FB5" w:rsidP="007C327A">
      <w:pPr>
        <w:pStyle w:val="a6"/>
        <w:jc w:val="both"/>
        <w:rPr>
          <w:rFonts w:ascii="Times New Roman" w:eastAsia="Calibri" w:hAnsi="Times New Roman"/>
          <w:i/>
          <w:sz w:val="24"/>
          <w:szCs w:val="24"/>
        </w:rPr>
      </w:pPr>
      <w:r w:rsidRPr="007C327A">
        <w:rPr>
          <w:rFonts w:ascii="Times New Roman" w:eastAsia="Calibri" w:hAnsi="Times New Roman"/>
          <w:i/>
          <w:sz w:val="24"/>
          <w:szCs w:val="24"/>
        </w:rPr>
        <w:fldChar w:fldCharType="end"/>
      </w: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7C327A" w:rsidRPr="007C327A" w:rsidRDefault="007C327A" w:rsidP="00B60F85">
      <w:pPr>
        <w:pStyle w:val="a6"/>
        <w:jc w:val="center"/>
        <w:rPr>
          <w:rFonts w:ascii="Times New Roman" w:eastAsia="Calibri" w:hAnsi="Times New Roman"/>
          <w:i/>
          <w:sz w:val="24"/>
          <w:szCs w:val="24"/>
        </w:rPr>
      </w:pPr>
    </w:p>
    <w:p w:rsidR="007C327A" w:rsidRPr="007C327A" w:rsidRDefault="007C327A" w:rsidP="00B60F85">
      <w:pPr>
        <w:pStyle w:val="a6"/>
        <w:jc w:val="center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1 ТОМ</w:t>
      </w:r>
    </w:p>
    <w:p w:rsidR="007C327A" w:rsidRPr="007C327A" w:rsidRDefault="007C327A" w:rsidP="00B60F85">
      <w:pPr>
        <w:pStyle w:val="a6"/>
        <w:jc w:val="center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Часть</w:t>
      </w:r>
      <w:proofErr w:type="gramStart"/>
      <w:r w:rsidRPr="007C327A">
        <w:rPr>
          <w:rFonts w:ascii="Times New Roman" w:hAnsi="Times New Roman"/>
          <w:bCs/>
          <w:sz w:val="24"/>
          <w:szCs w:val="24"/>
        </w:rPr>
        <w:t xml:space="preserve"> Б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(графические материалы)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693"/>
        <w:gridCol w:w="7070"/>
        <w:gridCol w:w="1745"/>
      </w:tblGrid>
      <w:tr w:rsidR="007C327A" w:rsidRPr="007C327A" w:rsidTr="00225DD9">
        <w:trPr>
          <w:trHeight w:val="39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НАИМЕНОВАНИЕ КАРТЫ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</w:tr>
      <w:tr w:rsidR="007C327A" w:rsidRPr="007C327A" w:rsidTr="00225DD9">
        <w:trPr>
          <w:trHeight w:val="7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Карта функциональных зон и объектов местного значения в границах МО Светлый сельсовет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1:10 000</w:t>
            </w:r>
          </w:p>
        </w:tc>
      </w:tr>
    </w:tbl>
    <w:p w:rsidR="007C327A" w:rsidRPr="007C327A" w:rsidRDefault="007C327A" w:rsidP="003A1E18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br w:type="page"/>
      </w:r>
      <w:bookmarkStart w:id="1" w:name="_Toc363549731"/>
      <w:r w:rsidRPr="007C327A">
        <w:rPr>
          <w:rFonts w:ascii="Times New Roman" w:hAnsi="Times New Roman"/>
          <w:sz w:val="24"/>
          <w:szCs w:val="24"/>
        </w:rPr>
        <w:lastRenderedPageBreak/>
        <w:t>1 СВЕДЕНИЯ ОБ ОБЪЕКТАХ МЕСТНОГО ЗНАЧЕНИЯ</w:t>
      </w:r>
      <w:bookmarkEnd w:id="1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bookmarkStart w:id="2" w:name="_Toc363468508"/>
      <w:bookmarkStart w:id="3" w:name="_Toc363549732"/>
      <w:r w:rsidRPr="007C327A">
        <w:rPr>
          <w:rFonts w:ascii="Times New Roman" w:hAnsi="Times New Roman"/>
          <w:sz w:val="24"/>
          <w:szCs w:val="24"/>
        </w:rPr>
        <w:t>1.1 Границы МО</w:t>
      </w:r>
      <w:bookmarkEnd w:id="2"/>
      <w:bookmarkEnd w:id="3"/>
      <w:r w:rsidRPr="007C327A">
        <w:rPr>
          <w:rFonts w:ascii="Times New Roman" w:hAnsi="Times New Roman"/>
          <w:sz w:val="24"/>
          <w:szCs w:val="24"/>
        </w:rPr>
        <w:t xml:space="preserve"> Светлый сельсовет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Муниципальное образование </w:t>
      </w:r>
      <w:r w:rsidRPr="007C327A">
        <w:rPr>
          <w:rFonts w:ascii="Times New Roman" w:hAnsi="Times New Roman"/>
          <w:sz w:val="24"/>
          <w:szCs w:val="24"/>
        </w:rPr>
        <w:t xml:space="preserve">Светлый 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сельсовет находится в  Сакмарском районе Оренбургской области, Приволжского федерального округа Российской Федерации. В состав муниципального образования </w:t>
      </w:r>
      <w:r w:rsidRPr="007C327A">
        <w:rPr>
          <w:rFonts w:ascii="Times New Roman" w:hAnsi="Times New Roman"/>
          <w:sz w:val="24"/>
          <w:szCs w:val="24"/>
        </w:rPr>
        <w:t xml:space="preserve">Светлый </w:t>
      </w:r>
      <w:r w:rsidRPr="007C327A">
        <w:rPr>
          <w:rFonts w:ascii="Times New Roman" w:hAnsi="Times New Roman"/>
          <w:sz w:val="24"/>
          <w:szCs w:val="24"/>
          <w:lang w:eastAsia="ar-SA"/>
        </w:rPr>
        <w:t>сельсовет входит четыре населённых пункта: с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.О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>рловка, п.Северный, п.Первенец, п.Светлый.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Поселок Светлый является административным центром </w:t>
      </w:r>
      <w:r w:rsidRPr="007C327A">
        <w:rPr>
          <w:rFonts w:ascii="Times New Roman" w:hAnsi="Times New Roman"/>
          <w:sz w:val="24"/>
          <w:szCs w:val="24"/>
        </w:rPr>
        <w:t>Светлого</w:t>
      </w: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сельсовета.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В настоящее время численность населения сельсовета составляет 2935 человек. Площадь МО </w:t>
      </w:r>
      <w:r w:rsidRPr="007C327A">
        <w:rPr>
          <w:rFonts w:ascii="Times New Roman" w:hAnsi="Times New Roman"/>
          <w:sz w:val="24"/>
          <w:szCs w:val="24"/>
        </w:rPr>
        <w:t xml:space="preserve">Светлый 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сельсовет по картографическим измерениям составляет </w:t>
      </w:r>
      <w:r w:rsidRPr="007C327A">
        <w:rPr>
          <w:rFonts w:ascii="Times New Roman" w:hAnsi="Times New Roman"/>
          <w:sz w:val="24"/>
          <w:szCs w:val="24"/>
        </w:rPr>
        <w:t xml:space="preserve">18 034 </w:t>
      </w:r>
      <w:r w:rsidRPr="007C327A">
        <w:rPr>
          <w:rFonts w:ascii="Times New Roman" w:hAnsi="Times New Roman"/>
          <w:sz w:val="24"/>
          <w:szCs w:val="24"/>
          <w:lang w:eastAsia="ar-SA"/>
        </w:rPr>
        <w:t>га.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МО </w:t>
      </w:r>
      <w:r w:rsidRPr="007C327A">
        <w:rPr>
          <w:rFonts w:ascii="Times New Roman" w:hAnsi="Times New Roman"/>
          <w:sz w:val="24"/>
          <w:szCs w:val="24"/>
        </w:rPr>
        <w:t xml:space="preserve">Светлый </w:t>
      </w:r>
      <w:r w:rsidRPr="007C327A">
        <w:rPr>
          <w:rFonts w:ascii="Times New Roman" w:hAnsi="Times New Roman"/>
          <w:sz w:val="24"/>
          <w:szCs w:val="24"/>
          <w:lang w:eastAsia="ar-SA"/>
        </w:rPr>
        <w:t>сельсовет расположен западней Сакмарского района и граничит с Оренбургским районом.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en-US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Предлагаемые проектом границы населенных пунктов представлены на карте современного состояния и использования территорий в границах МО </w:t>
      </w:r>
      <w:r w:rsidRPr="007C327A">
        <w:rPr>
          <w:rFonts w:ascii="Times New Roman" w:hAnsi="Times New Roman"/>
          <w:sz w:val="24"/>
          <w:szCs w:val="24"/>
        </w:rPr>
        <w:t xml:space="preserve">Светлый </w:t>
      </w:r>
      <w:r w:rsidRPr="007C327A">
        <w:rPr>
          <w:rFonts w:ascii="Times New Roman" w:hAnsi="Times New Roman"/>
          <w:color w:val="000000"/>
          <w:sz w:val="24"/>
          <w:szCs w:val="24"/>
          <w:lang w:eastAsia="en-US"/>
        </w:rPr>
        <w:t>сельсовет в графических материалах тома 2 «Материалы по обоснованию» проекта.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color w:val="000000"/>
          <w:sz w:val="24"/>
          <w:szCs w:val="24"/>
          <w:lang w:eastAsia="ar-SA"/>
        </w:rPr>
        <w:t>Село Орловка.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В настоящее время численность населения села составляет </w:t>
      </w:r>
      <w:r w:rsidRPr="007C327A">
        <w:rPr>
          <w:rFonts w:ascii="Times New Roman" w:hAnsi="Times New Roman"/>
          <w:sz w:val="24"/>
          <w:szCs w:val="24"/>
        </w:rPr>
        <w:t>424 чел.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color w:val="000000"/>
          <w:sz w:val="24"/>
          <w:szCs w:val="24"/>
          <w:lang w:eastAsia="ar-SA"/>
        </w:rPr>
        <w:t>Поселок Северный.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настоящее время численность населения поселка составляет 138</w:t>
      </w:r>
      <w:r w:rsidRPr="007C327A">
        <w:rPr>
          <w:rFonts w:ascii="Times New Roman" w:hAnsi="Times New Roman"/>
          <w:sz w:val="24"/>
          <w:szCs w:val="24"/>
        </w:rPr>
        <w:t xml:space="preserve"> чел.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color w:val="000000"/>
          <w:sz w:val="24"/>
          <w:szCs w:val="24"/>
          <w:lang w:eastAsia="ar-SA"/>
        </w:rPr>
        <w:t>Поселок Первенец.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В настоящее время численность населения поселка составляет </w:t>
      </w:r>
      <w:r w:rsidRPr="007C327A">
        <w:rPr>
          <w:rFonts w:ascii="Times New Roman" w:hAnsi="Times New Roman"/>
          <w:sz w:val="24"/>
          <w:szCs w:val="24"/>
        </w:rPr>
        <w:t>81 чел.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color w:val="000000"/>
          <w:sz w:val="24"/>
          <w:szCs w:val="24"/>
          <w:lang w:eastAsia="ar-SA"/>
        </w:rPr>
        <w:t>Поселок Светлый.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В настоящее время численность населения поселка составляет </w:t>
      </w:r>
      <w:r w:rsidRPr="007C327A">
        <w:rPr>
          <w:rFonts w:ascii="Times New Roman" w:hAnsi="Times New Roman"/>
          <w:sz w:val="24"/>
          <w:szCs w:val="24"/>
        </w:rPr>
        <w:t xml:space="preserve">2935 чел. </w:t>
      </w:r>
      <w:r w:rsidRPr="007C327A">
        <w:rPr>
          <w:rFonts w:ascii="Times New Roman" w:hAnsi="Times New Roman"/>
          <w:sz w:val="24"/>
          <w:szCs w:val="24"/>
          <w:lang w:eastAsia="ar-SA"/>
        </w:rPr>
        <w:t>В п. Светлый</w:t>
      </w: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имеется </w:t>
      </w:r>
      <w:r w:rsidRPr="007C327A">
        <w:rPr>
          <w:rFonts w:ascii="Times New Roman" w:hAnsi="Times New Roman"/>
          <w:sz w:val="24"/>
          <w:szCs w:val="24"/>
          <w:lang w:eastAsia="ar-SA"/>
        </w:rPr>
        <w:t>коровник, характеризующийся как одно из наиболее стабильных и ведущих хозяйств Сакмарского района.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bookmarkStart w:id="4" w:name="_Toc363468510"/>
      <w:bookmarkStart w:id="5" w:name="_Toc363549733"/>
      <w:r w:rsidRPr="007C327A">
        <w:rPr>
          <w:rFonts w:ascii="Times New Roman" w:hAnsi="Times New Roman"/>
          <w:i/>
          <w:sz w:val="24"/>
          <w:szCs w:val="24"/>
        </w:rPr>
        <w:t>1.2 Объекты местного значения</w:t>
      </w:r>
      <w:bookmarkEnd w:id="4"/>
      <w:bookmarkEnd w:id="5"/>
      <w:r w:rsidRPr="007C327A">
        <w:rPr>
          <w:rFonts w:ascii="Times New Roman" w:hAnsi="Times New Roman"/>
          <w:i/>
          <w:sz w:val="24"/>
          <w:szCs w:val="24"/>
        </w:rPr>
        <w:t>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Объекты местного значения -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и оказывают существенное влияние на социально-экономическое развитие муниципальных районов, поселений, городских округов.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К объектам местного значения относятся: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-объекты водоснабжения населения и водоотведения;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-автомобильные дороги местного значения;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-объекты физической культуры и массового спорта, образования, здравоохранения.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Объекты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электро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>, и газоснабжения находятся в ведении естественных монополий.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Схема территориального планирования муниципального образования Сакмарский район (далее - СТП района) была утверждена решением Совета депутатов Сакмарского</w:t>
      </w:r>
      <w:r w:rsidRPr="007C327A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 района №198 от 19.12.2012 г.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  <w:lang w:eastAsia="ar-SA"/>
        </w:rPr>
        <w:t>1.2.1 Объекты социальной инфраструктуры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Согласно перечню “переходящих и вновь начинаемых строек и объектов на 2012 и на период до 2014 года” по Сакмарскому району СТП района в </w:t>
      </w:r>
      <w:r w:rsidRPr="007C327A">
        <w:rPr>
          <w:rFonts w:ascii="Times New Roman" w:hAnsi="Times New Roman"/>
          <w:sz w:val="24"/>
          <w:szCs w:val="24"/>
        </w:rPr>
        <w:t>Светлом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сельсовете запланировано: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7C327A">
        <w:rPr>
          <w:rFonts w:ascii="Times New Roman" w:eastAsia="Calibri" w:hAnsi="Times New Roman"/>
          <w:sz w:val="24"/>
          <w:szCs w:val="24"/>
          <w:lang w:eastAsia="ar-SA"/>
        </w:rPr>
        <w:t>реконструкция или ремонт здания муниципального бюджетного общеобразовательного учреждения «</w:t>
      </w:r>
      <w:r w:rsidRPr="007C327A">
        <w:rPr>
          <w:rFonts w:ascii="Times New Roman" w:hAnsi="Times New Roman"/>
          <w:sz w:val="24"/>
          <w:szCs w:val="24"/>
          <w:lang w:eastAsia="ar-SA"/>
        </w:rPr>
        <w:t>Светлая</w:t>
      </w:r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 средняя общеобразовательная школа» (срок эксплуатации более 40 лет).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Исходя из обеспеченности Светлого сельсовета учреждениями дошкольного образования и численности населения.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pacing w:val="-2"/>
          <w:sz w:val="24"/>
          <w:szCs w:val="24"/>
          <w:lang w:eastAsia="ar-SA"/>
        </w:rPr>
        <w:t>Развитие социальной инфраструктуры предусматривает повышение качества жизни населения, что в свою очередь ведет к стабилизации численности населения и создает условия для ее последующего роста.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shd w:val="clear" w:color="auto" w:fill="FFFFFF"/>
          <w:lang w:eastAsia="ar-SA"/>
        </w:rPr>
        <w:t>1.2.2 Объекты инженерной инфраструктуры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iCs/>
          <w:spacing w:val="-2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Газоснабжение сельсовета осуществляется от магистрального газопровода высокого давления через ряд АГРС, </w:t>
      </w:r>
      <w:proofErr w:type="gramStart"/>
      <w:r w:rsidRPr="007C327A">
        <w:rPr>
          <w:rFonts w:ascii="Times New Roman" w:eastAsia="Calibri" w:hAnsi="Times New Roman"/>
          <w:sz w:val="24"/>
          <w:szCs w:val="24"/>
          <w:lang w:eastAsia="ar-SA"/>
        </w:rPr>
        <w:t>расположенных</w:t>
      </w:r>
      <w:proofErr w:type="gramEnd"/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 на территории района.</w:t>
      </w: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bCs/>
          <w:sz w:val="24"/>
          <w:szCs w:val="24"/>
          <w:lang w:eastAsia="ar-SA"/>
        </w:rPr>
        <w:t xml:space="preserve">Протяженность газопроводов в районе составляет всего 334,2 километра. </w:t>
      </w: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sz w:val="24"/>
          <w:szCs w:val="24"/>
          <w:lang w:eastAsia="ar-SA"/>
        </w:rPr>
        <w:t>Анализируя, существующее состояние системы газоснабжения Светлого сельсовета выявлено наличие следующих проблем:</w:t>
      </w: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bCs/>
          <w:iCs/>
          <w:spacing w:val="-2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sz w:val="24"/>
          <w:szCs w:val="24"/>
          <w:lang w:eastAsia="ar-SA"/>
        </w:rPr>
        <w:t>-существующая система закольцована не полностью, что уменьшает надежность газоснабжения потребителей и усложняет проведение ремонтных работ;</w:t>
      </w:r>
    </w:p>
    <w:p w:rsidR="007C327A" w:rsidRPr="007C327A" w:rsidRDefault="007C327A" w:rsidP="007C327A">
      <w:pPr>
        <w:pStyle w:val="a6"/>
        <w:jc w:val="both"/>
        <w:rPr>
          <w:rFonts w:ascii="Times New Roman" w:eastAsia="Calibri" w:hAnsi="Times New Roman"/>
          <w:bCs/>
          <w:iCs/>
          <w:spacing w:val="-2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bCs/>
          <w:iCs/>
          <w:spacing w:val="-2"/>
          <w:sz w:val="24"/>
          <w:szCs w:val="24"/>
          <w:lang w:eastAsia="ar-SA"/>
        </w:rPr>
        <w:t>-на территории сельсовета находятся населенные пункты, не подключенные к системе газоснабжения района.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iCs/>
          <w:color w:val="0000FF"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shd w:val="clear" w:color="auto" w:fill="FFFFFF"/>
          <w:lang w:eastAsia="ar-SA"/>
        </w:rPr>
        <w:t>1.2.3 Объекты утилизации и переработки бытовых и промышленных отходов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iCs/>
          <w:color w:val="0000FF"/>
          <w:spacing w:val="-2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Биологическими отходами являются: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трупы животных или птиц, в т.ч. лабораторных;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абортированные и мертворожденные плоды;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ветеринарные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конфискаты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в хладобойнях, мясо и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рыбоперерабатывающих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организациях, рынках, организациях торговли и других объектах.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Основными задачами по профилактике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зооантропонозных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инфекций в МО Светлый сельсовет на 2013 год будут: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-выполнение планов вакцинации населения сельсовета против прививаемых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зооантропонозных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инфекций;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-постоянный контроль состояния скотомогильника и приведение в надлежащее санитарно-техническое состояние;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-приведение санитарно-гигиенических условий на животноводческих предприятиях в соответствие с нормативными требованиями.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bookmarkStart w:id="6" w:name="_Toc363549734"/>
      <w:r w:rsidRPr="007C327A">
        <w:rPr>
          <w:rFonts w:ascii="Times New Roman" w:hAnsi="Times New Roman"/>
          <w:sz w:val="24"/>
          <w:szCs w:val="24"/>
        </w:rPr>
        <w:t>1.3 Зоны с особыми условиями использования территории</w:t>
      </w:r>
      <w:bookmarkEnd w:id="6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К зонам с особыми условиями использования территории относятся санитарно-защитные зоны предприятий, оказывающих негативное влияние на окружающую среду. </w:t>
      </w:r>
      <w:proofErr w:type="gramStart"/>
      <w:r w:rsidRPr="007C327A">
        <w:rPr>
          <w:rFonts w:ascii="Times New Roman" w:hAnsi="Times New Roman"/>
          <w:sz w:val="24"/>
          <w:szCs w:val="24"/>
        </w:rPr>
        <w:t xml:space="preserve">В целях обеспечения безопасности населения и в соответствии с Федеральным законом "О </w:t>
      </w:r>
      <w:r w:rsidRPr="007C327A">
        <w:rPr>
          <w:rFonts w:ascii="Times New Roman" w:hAnsi="Times New Roman"/>
          <w:sz w:val="24"/>
          <w:szCs w:val="24"/>
        </w:rPr>
        <w:lastRenderedPageBreak/>
        <w:t>санитарно-эпидемиологическом благополучии населения" от 30.03.1999г. N 52-ФЗ,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- санитарно-защитная зона (СЗЗ),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</w:t>
      </w:r>
      <w:proofErr w:type="gramEnd"/>
      <w:r w:rsidRPr="007C327A">
        <w:rPr>
          <w:rFonts w:ascii="Times New Roman" w:hAnsi="Times New Roman"/>
          <w:sz w:val="24"/>
          <w:szCs w:val="24"/>
        </w:rPr>
        <w:t xml:space="preserve">, а для предприятий I и II класса опасности как до значений, установленных гигиеническими нормативами, так и до величин приемлемого риска для здоровья населения.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 территории Светлого сельсовета расположены следующие объекты и сооружения местного значения, для которых предусматривается организация санитарно-защитных зон и санитарных разрывов.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iCs/>
          <w:sz w:val="24"/>
          <w:szCs w:val="24"/>
          <w:lang w:eastAsia="ar-SA"/>
        </w:rPr>
        <w:t>Таблица 1.3-1Санитарно-защитные зоны объектов Светлого сельсовета.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5523"/>
        <w:gridCol w:w="3124"/>
      </w:tblGrid>
      <w:tr w:rsidR="007C327A" w:rsidRPr="007C327A" w:rsidTr="00225D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proofErr w:type="spell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Наименование объекта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Размер санитарно-защитной зоны, метров</w:t>
            </w:r>
          </w:p>
        </w:tc>
      </w:tr>
      <w:tr w:rsidR="007C327A" w:rsidRPr="007C327A" w:rsidTr="00225DD9"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Светлый сельсовет</w:t>
            </w:r>
          </w:p>
        </w:tc>
      </w:tr>
      <w:tr w:rsidR="007C327A" w:rsidRPr="007C327A" w:rsidTr="00225D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Скотомогильник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327A" w:rsidRPr="007C327A" w:rsidRDefault="007C327A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1000</w:t>
            </w:r>
          </w:p>
        </w:tc>
      </w:tr>
    </w:tbl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eastAsia="MS Mincho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Санитарно-защитные зоны объектов на территории МО Светлый сельсовет установлены в соответствии с </w:t>
      </w:r>
      <w:proofErr w:type="spellStart"/>
      <w:r w:rsidRPr="007C327A">
        <w:rPr>
          <w:rFonts w:ascii="Times New Roman" w:eastAsia="MS Mincho" w:hAnsi="Times New Roman"/>
          <w:sz w:val="24"/>
          <w:szCs w:val="24"/>
        </w:rPr>
        <w:t>СанПиН</w:t>
      </w:r>
      <w:proofErr w:type="spellEnd"/>
      <w:r w:rsidRPr="007C327A">
        <w:rPr>
          <w:rFonts w:ascii="Times New Roman" w:eastAsia="MS Mincho" w:hAnsi="Times New Roman"/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 проектировании и строительстве водозаборных скважин и очистных сооружений необходимо предусмотреть ЗСО источников водоснабжения и СЗЗ от очистных сооружений.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Охранные зоны объектов водоснабжения устанавливаются в соответствии с </w:t>
      </w:r>
      <w:proofErr w:type="spellStart"/>
      <w:r w:rsidRPr="007C327A">
        <w:rPr>
          <w:rFonts w:ascii="Times New Roman" w:hAnsi="Times New Roman"/>
          <w:sz w:val="24"/>
          <w:szCs w:val="24"/>
        </w:rPr>
        <w:t>СанПиН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РФ от14 марта 2002 г. №10.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Очистные сооружения должны соответствовать современным требованиям, СЗЗ должна быть не более 300 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В соответствии с п.2.1 </w:t>
      </w:r>
      <w:proofErr w:type="spellStart"/>
      <w:r w:rsidRPr="007C327A">
        <w:rPr>
          <w:rFonts w:ascii="Times New Roman" w:hAnsi="Times New Roman"/>
          <w:sz w:val="24"/>
          <w:szCs w:val="24"/>
        </w:rPr>
        <w:t>СанПиН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2.2.1/2.1.1.1200-03* для объектов, являющихся источниками воздействия на среду обитания, разрабатывается проект обоснования размера санитарно-защитной зоны. Ориентировочный размер санитарно-защитной зоны по классификации должен быть обоснован проектом санитарно-защитной с расчетами ожидаемого загрязнения атмосферного воздуха (с учетом фона) и уровней физического воздействия на атмосферный воздух и подтвержден результатами натурных исследований и измерений.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этих проектах предусматриваются конкретные мероприятия, учитывающие специфику предприятия и защиту от его вредных воздействий.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bookmarkStart w:id="7" w:name="_Toc363549735"/>
      <w:r w:rsidRPr="007C327A">
        <w:rPr>
          <w:rFonts w:ascii="Times New Roman" w:hAnsi="Times New Roman"/>
          <w:sz w:val="24"/>
          <w:szCs w:val="24"/>
        </w:rPr>
        <w:t>2 ПАРАМЕТРЫ ФУНКЦИОНАЛЬНЫХ ЗОН И СВЕДЕНИЯ ОБ ОБЪЕКТАХ ФЕДЕРАЛЬНОГО И РЕГИОНАЛЬНОГО ЗНАЧЕНИЯ</w:t>
      </w:r>
      <w:bookmarkEnd w:id="7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bookmarkStart w:id="8" w:name="_Toc363468509"/>
      <w:bookmarkStart w:id="9" w:name="_Toc363549736"/>
      <w:r w:rsidRPr="007C327A">
        <w:rPr>
          <w:rFonts w:ascii="Times New Roman" w:hAnsi="Times New Roman"/>
          <w:sz w:val="24"/>
          <w:szCs w:val="24"/>
        </w:rPr>
        <w:t>2.1 Функциональные зоны</w:t>
      </w:r>
      <w:bookmarkEnd w:id="8"/>
      <w:bookmarkEnd w:id="9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Функциональное зонирование территории, с сохранением исторически сложившегося назначения территорий.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Назначение  и параметры функциональных зон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lastRenderedPageBreak/>
        <w:t>Функциональное зонирование муниципального образования Светлый сельсовет представлено зонированием территорий в границах муниципального образования и в границах населённых пунктов.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В границах муниципального образования территория </w:t>
      </w:r>
      <w:proofErr w:type="spellStart"/>
      <w:r w:rsidRPr="007C327A">
        <w:rPr>
          <w:rFonts w:ascii="Times New Roman" w:hAnsi="Times New Roman"/>
          <w:sz w:val="24"/>
          <w:szCs w:val="24"/>
        </w:rPr>
        <w:t>зонирована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по следующим видам: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сельскохозяйственного использования;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производственного использования;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специального назначения;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инженерной и транспортной инфраструктуры;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рекреационного назначения;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границах населённых пунктов определён следующий состав зон: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Жилая зона;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Общественно-деловая зона;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сельскохозяйственного использования;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производственного использования;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специального назначения;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инженерной и транспортной инфраструктуры;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Зона рекреационного назначения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i/>
          <w:sz w:val="24"/>
          <w:szCs w:val="24"/>
          <w:u w:val="single"/>
        </w:rPr>
        <w:t>Жилая зона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Объекты и виды деятельности, несоответствующие требованиям СП 42.13330.2011 «Градостроительство. Планировка и застройка городских и сельских поселений», не допускается размещать в жилых зонах.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жилых зонах размещаются дома усадебные с приусадебными участками; отдельно стоящие, встроенные или пристроенные объекты социального и культурно-бытового обслуживания населения с учетом социальных нормативов обеспеченности (в т.ч. услуги первой необходимости в пределах пешеходной доступности не более 30 мин.); гаражи и автостоянки для легковых автомобилей; культовые объекты.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м.)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К жилым зонам относятся также территории садово-дачной застройки, расположенной в пределах границ населенного пункта.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Для жителей многоквартирных жилых домов хозяйственные постройки для скота и птицы могут выделяться за пределами жилой зоны; при многоквартирных домах допускается устройство встроенных или отдельно стоящих коллективных подземных хранилищ сельскохозяйственных продуктов.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основе проектных решений по формированию жилой среды использовались следующие принципы: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- изыскание наиболее пригодных площадок для нового жилищного строительства на возвышенных местах с глубоким стоянием грунтовых вод, хорошо </w:t>
      </w:r>
      <w:proofErr w:type="spellStart"/>
      <w:r w:rsidRPr="007C327A">
        <w:rPr>
          <w:rFonts w:ascii="Times New Roman" w:hAnsi="Times New Roman"/>
          <w:sz w:val="24"/>
          <w:szCs w:val="24"/>
        </w:rPr>
        <w:t>инсолируемых</w:t>
      </w:r>
      <w:proofErr w:type="spellEnd"/>
      <w:r w:rsidRPr="007C327A">
        <w:rPr>
          <w:rFonts w:ascii="Times New Roman" w:hAnsi="Times New Roman"/>
          <w:sz w:val="24"/>
          <w:szCs w:val="24"/>
        </w:rPr>
        <w:t>, расположенных выше по рельефу и течению рек по отношению к производственным объектам;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увеличение темпов индивидуального жилищного строительства с учетом привлечения различных внебюджетных и негосударственных источников, в том числе привлечения сре</w:t>
      </w:r>
      <w:proofErr w:type="gramStart"/>
      <w:r w:rsidRPr="007C327A">
        <w:rPr>
          <w:rFonts w:ascii="Times New Roman" w:hAnsi="Times New Roman"/>
          <w:sz w:val="24"/>
          <w:szCs w:val="24"/>
        </w:rPr>
        <w:t>дств гр</w:t>
      </w:r>
      <w:proofErr w:type="gramEnd"/>
      <w:r w:rsidRPr="007C327A">
        <w:rPr>
          <w:rFonts w:ascii="Times New Roman" w:hAnsi="Times New Roman"/>
          <w:sz w:val="24"/>
          <w:szCs w:val="24"/>
        </w:rPr>
        <w:t>аждан и за счёт участия в государственных и областных целевых программах;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выход на показатель обеспеченности не менее 30 м кв. общей площади на человека.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Такой подход позволит значительно улучшить жилую среду, оптимизировать затраты на создание полноценной социальной и инженерной инфраструктуры.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iCs/>
          <w:sz w:val="24"/>
          <w:szCs w:val="24"/>
        </w:rPr>
        <w:lastRenderedPageBreak/>
        <w:t>Основные проектные предложения в решении жилищной проблемы и новая жилищная политика</w:t>
      </w:r>
      <w:r w:rsidRPr="007C327A">
        <w:rPr>
          <w:rFonts w:ascii="Times New Roman" w:hAnsi="Times New Roman"/>
          <w:sz w:val="24"/>
          <w:szCs w:val="24"/>
        </w:rPr>
        <w:t>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освоение новых площадок под жилищное строительство;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- наращивание темпов строительства жилья за счет индивидуального строительства;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- обустройство жилых домов инженерной инфраструктурой;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- ликвидация ветхого, аварийного фонда;       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и их застройку.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</w:rPr>
        <w:t>Основные параметры жилых зон:</w:t>
      </w:r>
      <w:r w:rsidRPr="007C327A">
        <w:rPr>
          <w:rFonts w:ascii="Times New Roman" w:hAnsi="Times New Roman"/>
          <w:bCs/>
          <w:i/>
          <w:sz w:val="24"/>
          <w:szCs w:val="24"/>
        </w:rPr>
        <w:tab/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</w:rPr>
      </w:pPr>
      <w:r w:rsidRPr="007C327A">
        <w:rPr>
          <w:rFonts w:ascii="Times New Roman" w:hAnsi="Times New Roman"/>
          <w:bCs/>
          <w:i/>
          <w:sz w:val="24"/>
          <w:szCs w:val="24"/>
        </w:rPr>
        <w:t>Тип застройки – усадебный.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</w:rPr>
      </w:pPr>
      <w:r w:rsidRPr="007C327A">
        <w:rPr>
          <w:rFonts w:ascii="Times New Roman" w:hAnsi="Times New Roman"/>
          <w:bCs/>
          <w:i/>
          <w:sz w:val="24"/>
          <w:szCs w:val="24"/>
        </w:rPr>
        <w:t>Площадь участка под индивидуальную застройку  - 15 соток.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</w:rPr>
      </w:pPr>
      <w:r w:rsidRPr="007C327A">
        <w:rPr>
          <w:rFonts w:ascii="Times New Roman" w:hAnsi="Times New Roman"/>
          <w:bCs/>
          <w:i/>
          <w:sz w:val="24"/>
          <w:szCs w:val="24"/>
        </w:rPr>
        <w:t>Этажность – до 3 этажей.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</w:rPr>
      </w:pPr>
      <w:r w:rsidRPr="007C327A">
        <w:rPr>
          <w:rFonts w:ascii="Times New Roman" w:hAnsi="Times New Roman"/>
          <w:bCs/>
          <w:i/>
          <w:sz w:val="24"/>
          <w:szCs w:val="24"/>
        </w:rPr>
        <w:t>Плотность населения – 17 человек на 1 га (средний состав семьи 3,5 чел.).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</w:rPr>
        <w:t>Расстояния между жилыми зданиями, жилыми и общественными, следует принимать на основе расчетов инсоляции и освещенности в соответствии с требованиями, приведенными в СП 52.13330, а также в соответствии с требованиями глав 15-16 «Требования пожарной безопасности при градостроительной деятельности» раздела II «Требования пожарной безопасности при проектировании, строительстве и эксплуатации поселений и городских округов» Технического регламента о требованиях пожарной безопасности (Федеральный закон от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7C327A">
        <w:rPr>
          <w:rFonts w:ascii="Times New Roman" w:hAnsi="Times New Roman"/>
          <w:bCs/>
          <w:sz w:val="24"/>
          <w:szCs w:val="24"/>
        </w:rPr>
        <w:t>22 июля 2008 г. № 123-ФЗ).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 Бытовые разрывы между длинными сторонами жилых зданий высотой 2-3 этажа следует принимать не менее 15 м; между длинными сторонами и торцами этих же зданий с окнами из жилых комнат – не менее 10 м. 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</w:rPr>
        <w:t xml:space="preserve"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м, а расстояния до сарая для содержания скота и птицы – 10 м. Расстояние до границы участка должно быть от стены жилого дома 3 м., от хозяйственных построек – 1 м. 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Допускается блокировка жилых домов, а также хозяйственных построек на смежных приусадебных земельных участках по взаимному согласию домовладельцев с учетом противопожарных требований. Указанные нормы распространяются и на пристраиваемые к существующим жилым домам хозяйственные постройки.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менее, </w:t>
      </w:r>
      <w:proofErr w:type="gramStart"/>
      <w:r w:rsidRPr="007C327A">
        <w:rPr>
          <w:rFonts w:ascii="Times New Roman" w:hAnsi="Times New Roman"/>
          <w:bCs/>
          <w:sz w:val="24"/>
          <w:szCs w:val="24"/>
        </w:rPr>
        <w:t>м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>: одиночные или двойные - 10, до 8 блоков - 25, свыше 8 до 30 блоков - 50. Площадь застройки сблокированных сараев не должна превышать 800 кв.м. Расстояние от сараев для скота и птицы до шахтных колодцев должно быть не менее 20 м. Допускается пристройка хозяйственного сарая (в том числе для скота и птицы), гаража, бани, теплицы к усадебному дому с соблюдением требований санитарных и противопожарных норм.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Предельные значения коэффициентов застройки и коэффициентов плотности застройки территории жилых зон принимается </w:t>
      </w:r>
      <w:proofErr w:type="gramStart"/>
      <w:r w:rsidRPr="007C327A">
        <w:rPr>
          <w:rFonts w:ascii="Times New Roman" w:hAnsi="Times New Roman"/>
          <w:bCs/>
          <w:sz w:val="24"/>
          <w:szCs w:val="24"/>
        </w:rPr>
        <w:t>согласно правил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землепользования и застройки.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color w:val="000000"/>
          <w:sz w:val="24"/>
          <w:szCs w:val="24"/>
          <w:u w:val="single"/>
        </w:rPr>
      </w:pPr>
      <w:r w:rsidRPr="007C327A">
        <w:rPr>
          <w:rFonts w:ascii="Times New Roman" w:hAnsi="Times New Roman"/>
          <w:bCs/>
          <w:i/>
          <w:color w:val="000000"/>
          <w:sz w:val="24"/>
          <w:szCs w:val="24"/>
          <w:u w:val="single"/>
        </w:rPr>
        <w:t>Общественно-деловая, рекреационная зоны. Развитие системы центров.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  <w:u w:val="single"/>
        </w:rPr>
        <w:t>Общественно-деловые зоны</w:t>
      </w:r>
      <w:r w:rsidRPr="007C327A">
        <w:rPr>
          <w:rFonts w:ascii="Times New Roman" w:hAnsi="Times New Roman"/>
          <w:bCs/>
          <w:sz w:val="24"/>
          <w:szCs w:val="24"/>
        </w:rPr>
        <w:t xml:space="preserve">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профессионального образования, административных учреждений, культовых зданий, стоянок автотранспорта,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В перечень объектов недвижимости, разрешенных к </w:t>
      </w:r>
      <w:r w:rsidRPr="007C327A">
        <w:rPr>
          <w:rFonts w:ascii="Times New Roman" w:hAnsi="Times New Roman"/>
          <w:bCs/>
          <w:sz w:val="24"/>
          <w:szCs w:val="24"/>
        </w:rPr>
        <w:lastRenderedPageBreak/>
        <w:t>размещению в общественно-деловых зонах, могут включаться жилые дома, гостиницы, подземные гаражи.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Общественно-деловые зоны формируются как центры деловой, финансовой и общественной активности в центральной части села, на территориях, прилегающих к главным улицам и объектам массового посещения.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Общественно-деловые зоны запланированы в привязке к сложившимся центрам, с учётом размещения в них  расчётного количества основных объектов соцкультбыта.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</w:rPr>
        <w:t>Параметры застройки общественно-деловых зон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Предельные значения коэффициентов застройки и коэффициентов плотности застройки территории общественно-деловых зон принимается </w:t>
      </w:r>
      <w:proofErr w:type="gramStart"/>
      <w:r w:rsidRPr="007C327A">
        <w:rPr>
          <w:rFonts w:ascii="Times New Roman" w:hAnsi="Times New Roman"/>
          <w:bCs/>
          <w:sz w:val="24"/>
          <w:szCs w:val="24"/>
        </w:rPr>
        <w:t>согласно правил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 xml:space="preserve"> землепользования и застройки.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Предельные значения параметров земельных участков и разрешенного строительства в общественно-деловых зонах устанавливаются посредством подготовки проектов планировки территории.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  <w:u w:val="single"/>
        </w:rPr>
        <w:t>Рекреационные зоны</w:t>
      </w:r>
      <w:r w:rsidRPr="007C327A">
        <w:rPr>
          <w:rFonts w:ascii="Times New Roman" w:hAnsi="Times New Roman"/>
          <w:bCs/>
          <w:sz w:val="24"/>
          <w:szCs w:val="24"/>
        </w:rPr>
        <w:t xml:space="preserve"> включают в себя парки, скверы, бульвары.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На территории рекреационных зон не допускаются строительство новых и расширение действующих промышленных, коммунально-складских и других объектов, непосредственно не связанных с эксплуатацией объектов рекреационного, оздоровительного и природоохранного назначения.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При размещении скверов и садов следует максимально сохранять участки с существующими насаждениями и водоемами.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Озелененные территории общего пользования должны быть благоустроены и оборудованы малыми архитектурными формами: фонтанами и бассейнами, лестницами, пандусами, подпорными стенками, беседками, светильниками и др.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</w:rPr>
        <w:t xml:space="preserve">За границами населенных пунктов </w:t>
      </w:r>
      <w:r w:rsidRPr="007C327A">
        <w:rPr>
          <w:rFonts w:ascii="Times New Roman" w:hAnsi="Times New Roman"/>
          <w:sz w:val="24"/>
          <w:szCs w:val="24"/>
        </w:rPr>
        <w:t>к зонам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граждан, в том числе: пригородные зеленые зоны, леса (при наличии памятников, природных и лечебных ресурсов, курортных зон), городские леса и парки, охраняемые природные ландшафты, этнографические и усадебные парки, памятники садово-паркового искусства, охраняемые береговые линии, охраняемые речные системы, биологические станции</w:t>
      </w:r>
      <w:proofErr w:type="gramEnd"/>
      <w:r w:rsidRPr="007C32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C327A">
        <w:rPr>
          <w:rFonts w:ascii="Times New Roman" w:hAnsi="Times New Roman"/>
          <w:sz w:val="24"/>
          <w:szCs w:val="24"/>
        </w:rPr>
        <w:t>микрозаповедники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и другие объекты.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состав зон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лесопарки, учебно-туристические тропы, трассы, детские и спортивные лагеря, другие аналогичные объекты.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На землях рекреационного назначения запрещается деятельность, не соответствующая их целевому назначению.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На озелененных территориях городских округов и поселений запрещается хозяйственная деятельность, отрицательно влияющая на выполнение ими экологических, санитарно-гигиенических и рекреационных функций. Все городские леса относятся к первой группе </w:t>
      </w:r>
      <w:r w:rsidRPr="007C327A">
        <w:rPr>
          <w:rFonts w:ascii="Times New Roman" w:hAnsi="Times New Roman"/>
          <w:sz w:val="24"/>
          <w:szCs w:val="24"/>
        </w:rPr>
        <w:lastRenderedPageBreak/>
        <w:t>лесов и используются в соответствии с требованиями Лесного кодекса и настоящих нормативов.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  <w:u w:val="single"/>
        </w:rPr>
        <w:t>Основные параметры рекреационной зоны:</w:t>
      </w:r>
      <w:r w:rsidRPr="007C327A">
        <w:rPr>
          <w:rFonts w:ascii="Times New Roman" w:hAnsi="Times New Roman"/>
          <w:bCs/>
          <w:sz w:val="24"/>
          <w:szCs w:val="24"/>
        </w:rPr>
        <w:tab/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 xml:space="preserve">Площадь территории садов и скверов не менее, </w:t>
      </w:r>
      <w:proofErr w:type="gramStart"/>
      <w:r w:rsidRPr="007C327A">
        <w:rPr>
          <w:rFonts w:ascii="Times New Roman" w:hAnsi="Times New Roman"/>
          <w:bCs/>
          <w:sz w:val="24"/>
          <w:szCs w:val="24"/>
        </w:rPr>
        <w:t>га</w:t>
      </w:r>
      <w:proofErr w:type="gramEnd"/>
      <w:r w:rsidRPr="007C327A">
        <w:rPr>
          <w:rFonts w:ascii="Times New Roman" w:hAnsi="Times New Roman"/>
          <w:bCs/>
          <w:sz w:val="24"/>
          <w:szCs w:val="24"/>
        </w:rPr>
        <w:t>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-садов жилых районов ..................................  3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-скверов .......................................................  0,5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</w:rPr>
        <w:t xml:space="preserve">Производственная зона. Зоны транспортной и инженерной инфраструктур.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состав производственных зон, зон инженерной и транспортной инфраструктур могут включаться: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производственные зоны - зоны размещения производственных объектов с различными нормативами воздействия на окружающую среду, как правило, требующие устройства санитарно-защитных зон шириной более 50 м, а также железнодорожных подъездных путей;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sz w:val="24"/>
          <w:szCs w:val="24"/>
        </w:rPr>
        <w:t>- иные виды производственной (научно-производственные зоны), инженерной и транспортной инфраструктур.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  <w:u w:val="single"/>
        </w:rPr>
        <w:t>В производственных зонах</w:t>
      </w:r>
      <w:r w:rsidRPr="007C327A">
        <w:rPr>
          <w:rFonts w:ascii="Times New Roman" w:hAnsi="Times New Roman"/>
          <w:sz w:val="24"/>
          <w:szCs w:val="24"/>
        </w:rPr>
        <w:t xml:space="preserve">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Примечания. 1.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2. При реконструкции объектов сложившейся производственной застройки, являющихся памятниками истории и культуры, необходимо предусматривать меры по сохранению их исторического облика.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Примечание. Участки санитарно-защитных зон предприятий не включаются в состав территории предприятий и могут быть предоставлены для размещения объектов, строительство которых допускается на территории этих зон. Оздоровительные, санитарно-гигиенические, строительные и другие мероприятия, связанные с охраной окружающей среды на прилегающей к предприятию загрязненной территории, включая благоустройство санитарно-защитных зон, осуществляются за счет предприятия, имеющего вредные выбросы.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Функционально-планировочную организацию промышленных зон необходимо предусматривать в виде кварталов (в границах красных линий), в пределах которых размещаются основные и вспомогательные производства 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lastRenderedPageBreak/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составлять, как правило, не менее 60% всей территории промышленной зоны.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Примечания. 1.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(или при отсутствии ограждения - в соответствующих ей условных границах), а также учреждений обслуживания с включением площади, занятой железнодорожными станциями, к общей территории промышленной зоны, определенной генеральным планом города. Занятые территории могут включать резервные участки на площадках предприятий и других объектов, намеченные в соответствии с заданием на проектирование для размещения на них зданий и сооружений.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7C327A">
        <w:rPr>
          <w:rFonts w:ascii="Times New Roman" w:hAnsi="Times New Roman"/>
          <w:sz w:val="24"/>
          <w:szCs w:val="24"/>
        </w:rPr>
        <w:t>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18.13330.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3. Плотность застройки кварталов, занимаемых промышленными предприятиями и другими объектами, как правило, не должна превышать показателей, приведенных в Приложении Г СП 42.13330.2011.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об охране подземных вод.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Размеры санитарно-защитных зон следует устанавливать с учетом требований </w:t>
      </w:r>
      <w:proofErr w:type="spellStart"/>
      <w:r w:rsidRPr="007C327A">
        <w:rPr>
          <w:rFonts w:ascii="Times New Roman" w:hAnsi="Times New Roman"/>
          <w:sz w:val="24"/>
          <w:szCs w:val="24"/>
        </w:rPr>
        <w:t>СанПиН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Минимальную площадь озеленения санитарно-защитных зон следует принимать в зависимость от ширины зоны</w:t>
      </w:r>
      <w:proofErr w:type="gramStart"/>
      <w:r w:rsidRPr="007C327A">
        <w:rPr>
          <w:rFonts w:ascii="Times New Roman" w:hAnsi="Times New Roman"/>
          <w:sz w:val="24"/>
          <w:szCs w:val="24"/>
        </w:rPr>
        <w:t>, %: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до 300 м ................................................  60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св. 300 до 1000 м .................................. 50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" 1000 " 3000 м ..................................... 40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" 3000 м ................................................. 20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Для объектов по изготовлению и хранению взрывчатых материалов и изделий на их основе (организаций, арсеналов, баз, складов ВМ) следует предусматривать запретные (опасные) зоны и районы. Размеры этих зон и районов определяются специальными нормативными документами </w:t>
      </w:r>
      <w:proofErr w:type="spellStart"/>
      <w:r w:rsidRPr="007C327A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(едиными правилами безопасности при взрывных работах) и других федеральных органов исполнительной власти, в ведении которых находятся указанные объекты. Застройка запретных (опасных) зон жилыми, общественными и производственными зданиями и сооружениями не допускается. В случае особой необходимости строительство зданий, сооружений и других объектов на территории запретной (опасной) зоны может осуществляться по согласованию с организацией, в ведении которой находится склад, и органами местного самоуправления районов.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Состав научно-производственных и условия размещения отдельных НИИ и опытных произво</w:t>
      </w:r>
      <w:proofErr w:type="gramStart"/>
      <w:r w:rsidRPr="007C327A">
        <w:rPr>
          <w:rFonts w:ascii="Times New Roman" w:hAnsi="Times New Roman"/>
          <w:sz w:val="24"/>
          <w:szCs w:val="24"/>
        </w:rPr>
        <w:t>дств сл</w:t>
      </w:r>
      <w:proofErr w:type="gramEnd"/>
      <w:r w:rsidRPr="007C327A">
        <w:rPr>
          <w:rFonts w:ascii="Times New Roman" w:hAnsi="Times New Roman"/>
          <w:sz w:val="24"/>
          <w:szCs w:val="24"/>
        </w:rPr>
        <w:t>едует определять с учетом факторов влияния на окружающую среду.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lastRenderedPageBreak/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жилую застройку, формируя их по типу зон смешанной застройки.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На территориях коммунально-складских зон (районов) следует размещать предприятия пищевой (пищевкусовой, мясной и молочной) промышленности, </w:t>
      </w:r>
      <w:proofErr w:type="spellStart"/>
      <w:r w:rsidRPr="007C327A">
        <w:rPr>
          <w:rFonts w:ascii="Times New Roman" w:hAnsi="Times New Roman"/>
          <w:sz w:val="24"/>
          <w:szCs w:val="24"/>
        </w:rPr>
        <w:t>общетоварные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(продовольственные и непродовольственные), специализированные склады (холодильники, картофеле-, овощ</w:t>
      </w:r>
      <w:proofErr w:type="gramStart"/>
      <w:r w:rsidRPr="007C327A">
        <w:rPr>
          <w:rFonts w:ascii="Times New Roman" w:hAnsi="Times New Roman"/>
          <w:sz w:val="24"/>
          <w:szCs w:val="24"/>
        </w:rPr>
        <w:t>е-</w:t>
      </w:r>
      <w:proofErr w:type="gramEnd"/>
      <w:r w:rsidRPr="007C32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C327A">
        <w:rPr>
          <w:rFonts w:ascii="Times New Roman" w:hAnsi="Times New Roman"/>
          <w:sz w:val="24"/>
          <w:szCs w:val="24"/>
        </w:rPr>
        <w:t>фруктохранилища</w:t>
      </w:r>
      <w:proofErr w:type="spellEnd"/>
      <w:r w:rsidRPr="007C327A">
        <w:rPr>
          <w:rFonts w:ascii="Times New Roman" w:hAnsi="Times New Roman"/>
          <w:sz w:val="24"/>
          <w:szCs w:val="24"/>
        </w:rPr>
        <w:t>), предприятия коммунального, транспортного и бытового обслуживания населения города.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Систему складских комплексов, не связанных с непосредственным повседневным обслуживанием населения, следует формировать за пределами крупных и крупнейших городов, приближая их к узлам внешнего, преимущественно железнодорожного транспорта, </w:t>
      </w:r>
      <w:proofErr w:type="spellStart"/>
      <w:r w:rsidRPr="007C327A">
        <w:rPr>
          <w:rFonts w:ascii="Times New Roman" w:hAnsi="Times New Roman"/>
          <w:sz w:val="24"/>
          <w:szCs w:val="24"/>
        </w:rPr>
        <w:t>логистическим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комплексам.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sz w:val="24"/>
          <w:szCs w:val="24"/>
        </w:rPr>
        <w:t>За пределами территории городов, в обособленных складских районах с соблюдением санитарных, противопожарных и специальных норм следует предусматривать рассредоточенное размещение складов государственных резервов, складов нефти и нефтепродуктов первой группы, перевалочных баз нефти и нефтепродуктов, складов сжиженных газов, складов взрывчатых материалов и базисных складов сильнодействующих ядовитых веществ, базисных складов продовольствия, фуража и промышленного сырья, лесоперевалочных баз базисных складов лесных и строительных материалов.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При размещении складов всех видов необходимо максимально использовать подземное пространство. Допускается при наличии отработанных горных выработок и участков недр, пригодных для размещения в них объектов, осуществлять строительство хранилищ продовольственных и промышленных товаров, ценной документации, распределительных холодильников и других объектов, требующих обеспечения устойчивости к внешним воздействиям и надежности функционирования. Размещение объектов следует осуществлять в соответствии с требованиями нормативных документов </w:t>
      </w:r>
      <w:proofErr w:type="spellStart"/>
      <w:r w:rsidRPr="007C327A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C327A">
        <w:rPr>
          <w:rFonts w:ascii="Times New Roman" w:hAnsi="Times New Roman"/>
          <w:sz w:val="24"/>
          <w:szCs w:val="24"/>
        </w:rPr>
        <w:t>, регламентирующих использование подземного пространства в целях, не связанных с добычей полезных ископаемых (ПБ-03-428 [17]).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Размеры земельных участков, площадь зданий и вместимость складов, предназначенных для обслуживания поселений, определяются региональными градостроительными нормативами или на основе </w:t>
      </w:r>
      <w:proofErr w:type="spellStart"/>
      <w:r w:rsidRPr="007C327A">
        <w:rPr>
          <w:rFonts w:ascii="Times New Roman" w:hAnsi="Times New Roman"/>
          <w:sz w:val="24"/>
          <w:szCs w:val="24"/>
        </w:rPr>
        <w:t>расчета</w:t>
      </w:r>
      <w:proofErr w:type="gramStart"/>
      <w:r w:rsidRPr="007C327A">
        <w:rPr>
          <w:rFonts w:ascii="Times New Roman" w:hAnsi="Times New Roman"/>
          <w:sz w:val="24"/>
          <w:szCs w:val="24"/>
        </w:rPr>
        <w:t>.Р</w:t>
      </w:r>
      <w:proofErr w:type="gramEnd"/>
      <w:r w:rsidRPr="007C327A">
        <w:rPr>
          <w:rFonts w:ascii="Times New Roman" w:hAnsi="Times New Roman"/>
          <w:sz w:val="24"/>
          <w:szCs w:val="24"/>
        </w:rPr>
        <w:t>азмеры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санитарно-защитных зон для картофеле-, овоще- и </w:t>
      </w:r>
      <w:proofErr w:type="spellStart"/>
      <w:r w:rsidRPr="007C327A">
        <w:rPr>
          <w:rFonts w:ascii="Times New Roman" w:hAnsi="Times New Roman"/>
          <w:sz w:val="24"/>
          <w:szCs w:val="24"/>
        </w:rPr>
        <w:t>фруктохранилищследует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принимать не менее 50 м; предусматривать меры по защите жилых и общественно-деловых зон от неблагоприятного влияния производственных комплексов, а также самих этих комплексов, если они связаны с производством пищевых продуктов, от загрязнений и вредных воздействий иных производств, транспортных и коммунальных сооружений. Меры по исключению загрязнения почв, поверхностных и подземных вод, поверхностных водосборов, водоемов и атмосферного воздуха должны соответствовать санитарным нормам.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 формировании производственных зон сельских поселений расстояния между сельскохозяйственными предприятиями, зданиями и сооружениями следует предусматривать минимально допустимые исходя из санитарных, ветеринарных, противопожарных требований и норм технологического проектирования.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На территории животноводческих комплексов и ферм и в их санитарно-защитных зонах не допускается размещать предприятия по переработке сельскохозяйственной продукции, объекты питания и объекты, к ним приравненные.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Объекты с размерами санитарно-защитной зоны свыше 300 м следует размещать на обособленных земельных участках за пределами границ сельских населенных пунктов.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Линии электропередачи, связи и других линейных сооружений местного значения следует размещать по границам полей севооборотов вдоль дорог, лесополос, существующих трасс с таким расчетом, чтобы обеспечивался свободный доступ к коммуникациям с территорий, не занятых сельскохозяйственными угодьями.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lastRenderedPageBreak/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сети.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При размещении сельскохозяйственных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8.6 и раздела 14 настоящего свода правил.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  <w:u w:val="single"/>
        </w:rPr>
        <w:t>Зоны транспортной и инженерной инфраструктур</w:t>
      </w:r>
      <w:r w:rsidRPr="007C327A">
        <w:rPr>
          <w:rFonts w:ascii="Times New Roman" w:hAnsi="Times New Roman"/>
          <w:sz w:val="24"/>
          <w:szCs w:val="24"/>
        </w:rPr>
        <w:t xml:space="preserve"> следует предусматривать для размещения сооружений и коммуникаций железнодорожного, автомобильного транспорта, связи, инженерного оборудования с учетом их перспективного развития.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целях обеспечения нормальной эксплуатации сооружений, устройства других объектов внешнего транспорта допускается устанавливать охранные зоны.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Отвод земель для сооружений и устройств внешнего транспорта осуществляется в установленном порядке. Режим использования этих земель определяется градостроительной документацией в соответствии с действующим законодательством.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Размещение сооружений, коммуникаций и других объектов транспорта на территории поселений должно соответствовать требованиям, приведенным в разделах 14 и 15 СП 42.13330.2011.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Для предотвращения неблагоприятных воздействий при эксплуатации объектов транспорта, связи, инженерных коммуникаций устанавливаются санитарно-защитные зоны от этих объектов до границ территорий жилых, общественно-деловых и рекреационных зон.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Территории в границах отвода сооружений и коммуникаций транспорта, связи, инженерного оборудования и их санитарно-защитных зон подлежат благоустройству и озеленению с учетом технических и эксплуатационных характеристик этих объектов.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Сооружения и коммуникации транспорта, связи, инженерного оборудования, эксплуатация которых оказывает прямое или косвенное воздействие на безопасность населения, размещаются за пределами поселений.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</w:rPr>
        <w:t xml:space="preserve">Зона сельскохозяйственного использования (в границах МО) 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составе земель сельскохозяйственного назначения выделяются сельскохозяйственные угодья, земли, занятые внутрихозяйственными дорогами, коммуникациями, лесными насаждениями, предназначенными для обеспечения защиты земель от воздействия негативных (вредных) природных, антропогенных и техногенных явлений, водными объектами, а также зданиями, строениями, сооружениями, используемыми для производства, хранения и первичной переработки сельскохозяйственной продукции.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Земли сельскохозяйственного использования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сельскохозяйственным производством целей: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sz w:val="24"/>
          <w:szCs w:val="24"/>
        </w:rPr>
        <w:t>-гражданами, в том числе ведущими крестьянские (фермерские) хозяйства, личные подсобные хозяйства, садоводство, животноводство, огородничество;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-некоммерческими организациями, в том числе потребительскими кооперативами, религиозными организациями;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-казачьими обществами;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-опытно-производственными, учебными, учебно-опытными и учебно-производственными подразделениями научно-исследовательских организаций, образовательных учреждений сельскохозяйственного профиля и общеобразовательных учреждений;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sz w:val="24"/>
          <w:szCs w:val="24"/>
        </w:rPr>
        <w:t xml:space="preserve">Использование земель сельскохозяйственного назначения или земельных участков в составе таких земель, предоставляемых на период осуществления строительства дорог, </w:t>
      </w:r>
      <w:r w:rsidRPr="007C327A">
        <w:rPr>
          <w:rFonts w:ascii="Times New Roman" w:hAnsi="Times New Roman"/>
          <w:sz w:val="24"/>
          <w:szCs w:val="24"/>
        </w:rPr>
        <w:lastRenderedPageBreak/>
        <w:t>линий электропередачи, линий связи (в том числе линейно-кабельных сооружений), нефтепроводов, газопроводов и иных трубопроводов,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</w:rPr>
        <w:t>Зона сельскохозяйственного использования (в границах населённых пунктов)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327A">
        <w:rPr>
          <w:rFonts w:ascii="Times New Roman" w:hAnsi="Times New Roman"/>
          <w:sz w:val="24"/>
          <w:szCs w:val="24"/>
        </w:rPr>
        <w:t>Земельные участки в составе зон сельскохозяйственного использования в населенных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-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  <w:proofErr w:type="gramEnd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C327A">
        <w:rPr>
          <w:rFonts w:ascii="Times New Roman" w:hAnsi="Times New Roman"/>
          <w:i/>
          <w:sz w:val="24"/>
          <w:szCs w:val="24"/>
          <w:u w:val="single"/>
        </w:rPr>
        <w:t>Зона специального назначения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bookmarkStart w:id="10" w:name="_Toc363549737"/>
      <w:r w:rsidRPr="007C327A">
        <w:rPr>
          <w:rFonts w:ascii="Times New Roman" w:hAnsi="Times New Roman"/>
          <w:sz w:val="24"/>
          <w:szCs w:val="24"/>
        </w:rPr>
        <w:t>2.2Сведения об объектах федерального и регионального значения</w:t>
      </w:r>
      <w:bookmarkEnd w:id="10"/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Схема территориального планирования Оренбургской области (далее - СТП области) была утверждена Постановлением Правительства Оренбургской области № 579-п от 07.07.11г.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СТП области не запланировано строительство объектов регионального значения на территории МО </w:t>
      </w:r>
      <w:r w:rsidRPr="007C327A">
        <w:rPr>
          <w:rFonts w:ascii="Times New Roman" w:hAnsi="Times New Roman"/>
          <w:sz w:val="24"/>
          <w:szCs w:val="24"/>
        </w:rPr>
        <w:t>Светлый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сельсовет.</w:t>
      </w:r>
    </w:p>
    <w:p w:rsidR="007C327A" w:rsidRP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C327A" w:rsidRDefault="007C327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60F85" w:rsidRDefault="00B60F85" w:rsidP="00B60F85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B60F85" w:rsidRDefault="00B60F8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07A86" w:rsidRPr="003A1E18" w:rsidRDefault="00C07A86" w:rsidP="00B60F85">
      <w:pPr>
        <w:pStyle w:val="a6"/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3A1E18">
        <w:rPr>
          <w:rFonts w:ascii="Times New Roman" w:hAnsi="Times New Roman"/>
          <w:b/>
          <w:sz w:val="24"/>
          <w:szCs w:val="24"/>
          <w:lang w:eastAsia="ar-SA"/>
        </w:rPr>
        <w:t>Приложение к Решению</w:t>
      </w:r>
    </w:p>
    <w:p w:rsidR="00C07A86" w:rsidRPr="003A1E18" w:rsidRDefault="00C07A86" w:rsidP="00B60F85">
      <w:pPr>
        <w:pStyle w:val="a6"/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3A1E18">
        <w:rPr>
          <w:rFonts w:ascii="Times New Roman" w:hAnsi="Times New Roman"/>
          <w:b/>
          <w:sz w:val="24"/>
          <w:szCs w:val="24"/>
          <w:lang w:eastAsia="ar-SA"/>
        </w:rPr>
        <w:t>Совета депутатов Светлого сельсовета</w:t>
      </w:r>
    </w:p>
    <w:p w:rsidR="00C07A86" w:rsidRPr="003A1E18" w:rsidRDefault="00DD49BA" w:rsidP="00B60F85">
      <w:pPr>
        <w:pStyle w:val="a6"/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3A1E18">
        <w:rPr>
          <w:rFonts w:ascii="Times New Roman" w:hAnsi="Times New Roman"/>
          <w:b/>
          <w:sz w:val="24"/>
          <w:szCs w:val="24"/>
          <w:lang w:eastAsia="ar-SA"/>
        </w:rPr>
        <w:t xml:space="preserve">от  25.06.2014 </w:t>
      </w:r>
      <w:r w:rsidR="00C07A86" w:rsidRPr="003A1E18">
        <w:rPr>
          <w:rFonts w:ascii="Times New Roman" w:hAnsi="Times New Roman"/>
          <w:b/>
          <w:sz w:val="24"/>
          <w:szCs w:val="24"/>
          <w:lang w:eastAsia="ar-SA"/>
        </w:rPr>
        <w:t>№</w:t>
      </w:r>
      <w:r w:rsidRPr="003A1E18">
        <w:rPr>
          <w:rFonts w:ascii="Times New Roman" w:hAnsi="Times New Roman"/>
          <w:b/>
          <w:sz w:val="24"/>
          <w:szCs w:val="24"/>
          <w:lang w:eastAsia="ar-SA"/>
        </w:rPr>
        <w:t xml:space="preserve"> 46</w:t>
      </w:r>
    </w:p>
    <w:p w:rsidR="00C07A86" w:rsidRPr="003A1E18" w:rsidRDefault="00C07A86" w:rsidP="007C327A">
      <w:pPr>
        <w:pStyle w:val="a6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ГЕНЕРАЛЬНЫЙ ПЛАН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МУНИЦИПАЛЬНОГО ОБРАЗОВАНИЯ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СВЕТЛЫЙ СЕЛЬСОВЕТ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САКМАРСКОГО РАЙОНА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ОРЕНБУРГСКОЙ ОБЛАСТИ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ТОМ  2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B60F85">
        <w:rPr>
          <w:rFonts w:ascii="Times New Roman" w:hAnsi="Times New Roman"/>
          <w:b/>
          <w:sz w:val="24"/>
          <w:szCs w:val="24"/>
          <w:lang w:eastAsia="ar-SA"/>
        </w:rPr>
        <w:t>МАТЕРИАЛЫ ПО ОБОСНОВАНИЮ</w:t>
      </w:r>
    </w:p>
    <w:p w:rsidR="00C07A86" w:rsidRPr="00B60F85" w:rsidRDefault="00C07A86" w:rsidP="00B60F85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B60F85" w:rsidRPr="007C327A" w:rsidRDefault="00B60F85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>Заказчик: Администрация МО Светлый сельсовет Сакмарского района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 xml:space="preserve">Контракт: МК № 039 от 11.11.13 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>Исполнитель: ООО «Инженерная группа «БСБ»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ab/>
        <w:t>Шифр: 039-11.13-ГП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B60F85">
      <w:pPr>
        <w:pStyle w:val="a6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B60F85">
      <w:pPr>
        <w:pStyle w:val="a6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Оренбург - 2013</w:t>
      </w:r>
    </w:p>
    <w:p w:rsidR="00C07A86" w:rsidRPr="007C327A" w:rsidRDefault="00C07A86" w:rsidP="00B60F85">
      <w:pPr>
        <w:pStyle w:val="a6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B60F85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ООО «Инженерная группа «БСБ»</w:t>
      </w:r>
    </w:p>
    <w:p w:rsidR="00C07A86" w:rsidRPr="003A1E18" w:rsidRDefault="00C07A86" w:rsidP="00B60F85">
      <w:pPr>
        <w:pStyle w:val="a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C327A">
        <w:rPr>
          <w:rFonts w:ascii="Times New Roman" w:hAnsi="Times New Roman"/>
          <w:color w:val="000000"/>
          <w:sz w:val="24"/>
          <w:szCs w:val="24"/>
        </w:rPr>
        <w:br w:type="page"/>
      </w:r>
      <w:r w:rsidRPr="003A1E18">
        <w:rPr>
          <w:rFonts w:ascii="Times New Roman" w:hAnsi="Times New Roman"/>
          <w:b/>
          <w:color w:val="000000"/>
          <w:sz w:val="24"/>
          <w:szCs w:val="24"/>
        </w:rPr>
        <w:lastRenderedPageBreak/>
        <w:t>СОСТАВ ГЕНЕРАЛЬНОГО ПЛАНА</w:t>
      </w:r>
    </w:p>
    <w:p w:rsidR="00C07A86" w:rsidRPr="003A1E18" w:rsidRDefault="00C07A86" w:rsidP="007C327A">
      <w:pPr>
        <w:pStyle w:val="a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5"/>
        <w:gridCol w:w="7681"/>
      </w:tblGrid>
      <w:tr w:rsidR="00C07A86" w:rsidRPr="007C327A" w:rsidTr="00C07A86">
        <w:trPr>
          <w:trHeight w:val="717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ТОМ 1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О ТЕРРИТОРИАЛЬНОМ ПЛАНИРОВАНИИ</w:t>
            </w:r>
          </w:p>
        </w:tc>
      </w:tr>
      <w:tr w:rsidR="00C07A86" w:rsidRPr="007C327A" w:rsidTr="00C07A86"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Пояснительная записка (текстовая)</w:t>
            </w:r>
          </w:p>
        </w:tc>
      </w:tr>
      <w:tr w:rsidR="00C07A86" w:rsidRPr="007C327A" w:rsidTr="00C07A86"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 материалы</w:t>
            </w:r>
          </w:p>
        </w:tc>
      </w:tr>
      <w:tr w:rsidR="00C07A86" w:rsidRPr="007C327A" w:rsidTr="00C07A86">
        <w:trPr>
          <w:trHeight w:val="978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ТОМ 2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МАТЕРИАЛЫ ПО ОБОСНОВАНИЮ</w:t>
            </w:r>
          </w:p>
        </w:tc>
      </w:tr>
      <w:tr w:rsidR="00C07A86" w:rsidRPr="007C327A" w:rsidTr="00C07A86"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Пояснительная записка (текстовая)</w:t>
            </w:r>
          </w:p>
        </w:tc>
      </w:tr>
      <w:tr w:rsidR="00C07A86" w:rsidRPr="007C327A" w:rsidTr="00C07A86"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proofErr w:type="gramStart"/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 материалы</w:t>
            </w: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Генеральный план состоит из 2-х томов: «Положение о территориальном планировании» (Том 1), «Материалы по обоснованию» (Том 2).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Генеральный план представляется в электронном виде. Проект разработан в программной среде ГИС «</w:t>
      </w:r>
      <w:proofErr w:type="spellStart"/>
      <w:r w:rsidRPr="007C327A">
        <w:rPr>
          <w:rFonts w:ascii="Times New Roman" w:hAnsi="Times New Roman"/>
          <w:sz w:val="24"/>
          <w:szCs w:val="24"/>
        </w:rPr>
        <w:t>MapInfo</w:t>
      </w:r>
      <w:proofErr w:type="spellEnd"/>
      <w:r w:rsidRPr="007C327A">
        <w:rPr>
          <w:rFonts w:ascii="Times New Roman" w:hAnsi="Times New Roman"/>
          <w:sz w:val="24"/>
          <w:szCs w:val="24"/>
        </w:rPr>
        <w:t>» в составе электронных графических слоёв и связанной с ними атрибутивной базы данных.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Работа выполнена авторским коллективом предприятия градостроительного проектирования  ООО «Инженерная группа «БСБ»:</w:t>
      </w:r>
    </w:p>
    <w:tbl>
      <w:tblPr>
        <w:tblW w:w="0" w:type="auto"/>
        <w:tblInd w:w="108" w:type="dxa"/>
        <w:tblLayout w:type="fixed"/>
        <w:tblLook w:val="0000"/>
      </w:tblPr>
      <w:tblGrid>
        <w:gridCol w:w="4674"/>
        <w:gridCol w:w="4635"/>
      </w:tblGrid>
      <w:tr w:rsidR="00C07A86" w:rsidRPr="007C327A" w:rsidTr="00C07A86">
        <w:trPr>
          <w:trHeight w:val="978"/>
        </w:trPr>
        <w:tc>
          <w:tcPr>
            <w:tcW w:w="4674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635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C07A86" w:rsidRPr="007C327A" w:rsidTr="00C07A86">
        <w:trPr>
          <w:trHeight w:val="978"/>
        </w:trPr>
        <w:tc>
          <w:tcPr>
            <w:tcW w:w="4674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</w:p>
        </w:tc>
        <w:tc>
          <w:tcPr>
            <w:tcW w:w="4635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Бочаров О.В.</w:t>
            </w:r>
          </w:p>
        </w:tc>
      </w:tr>
      <w:tr w:rsidR="00C07A86" w:rsidRPr="007C327A" w:rsidTr="00C07A86">
        <w:trPr>
          <w:trHeight w:val="978"/>
        </w:trPr>
        <w:tc>
          <w:tcPr>
            <w:tcW w:w="4674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Главный градостроитель проекта</w:t>
            </w:r>
          </w:p>
        </w:tc>
        <w:tc>
          <w:tcPr>
            <w:tcW w:w="4635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Агишев И.Д.</w:t>
            </w:r>
          </w:p>
        </w:tc>
      </w:tr>
      <w:tr w:rsidR="00C07A86" w:rsidRPr="007C327A" w:rsidTr="00C07A86">
        <w:trPr>
          <w:trHeight w:val="978"/>
        </w:trPr>
        <w:tc>
          <w:tcPr>
            <w:tcW w:w="4674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Архитектор</w:t>
            </w:r>
          </w:p>
        </w:tc>
        <w:tc>
          <w:tcPr>
            <w:tcW w:w="4635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Кириченко А.Д.</w:t>
            </w:r>
          </w:p>
        </w:tc>
      </w:tr>
      <w:tr w:rsidR="00C07A86" w:rsidRPr="007C327A" w:rsidTr="00C07A86">
        <w:trPr>
          <w:trHeight w:val="978"/>
        </w:trPr>
        <w:tc>
          <w:tcPr>
            <w:tcW w:w="4674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635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C07A86" w:rsidRPr="007C327A" w:rsidTr="00C07A86">
        <w:trPr>
          <w:trHeight w:val="978"/>
        </w:trPr>
        <w:tc>
          <w:tcPr>
            <w:tcW w:w="4674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635" w:type="dxa"/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br w:type="page"/>
      </w:r>
      <w:r w:rsidRPr="007C327A">
        <w:rPr>
          <w:rFonts w:ascii="Times New Roman" w:hAnsi="Times New Roman"/>
          <w:bCs/>
          <w:sz w:val="24"/>
          <w:szCs w:val="24"/>
        </w:rPr>
        <w:lastRenderedPageBreak/>
        <w:t>ПЕРЕЧЕНЬ ПРЕДСТАВЛЯЕМЫХ МАТЕРИАЛОВ: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А. ТЕКСТОВЫЕ МАТЕРИАЛЫ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- Том 1. Положение о территориальном планировании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- Том 2. Материалы по обоснованию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7C327A">
        <w:rPr>
          <w:rFonts w:ascii="Times New Roman" w:hAnsi="Times New Roman"/>
          <w:bCs/>
          <w:sz w:val="24"/>
          <w:szCs w:val="24"/>
        </w:rPr>
        <w:t>Б. ГРАФИЧЕСКИЕ МАТЕРИАЛЫ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07A86" w:rsidRPr="007C327A" w:rsidRDefault="00C07A86" w:rsidP="002271BD">
      <w:pPr>
        <w:pStyle w:val="a6"/>
        <w:jc w:val="center"/>
        <w:rPr>
          <w:rFonts w:ascii="Times New Roman" w:hAnsi="Times New Roman"/>
          <w:i/>
          <w:sz w:val="24"/>
          <w:szCs w:val="24"/>
        </w:rPr>
      </w:pPr>
      <w:bookmarkStart w:id="11" w:name="_Toc363468505"/>
      <w:r w:rsidRPr="007C327A">
        <w:rPr>
          <w:rFonts w:ascii="Times New Roman" w:hAnsi="Times New Roman"/>
          <w:sz w:val="24"/>
          <w:szCs w:val="24"/>
        </w:rPr>
        <w:t>Содержание 2 тома (часть А)</w:t>
      </w:r>
      <w:bookmarkEnd w:id="11"/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r w:rsidRPr="00277FB5">
        <w:rPr>
          <w:rFonts w:ascii="Times New Roman" w:hAnsi="Times New Roman"/>
          <w:i/>
          <w:iCs/>
          <w:noProof/>
          <w:sz w:val="24"/>
          <w:szCs w:val="24"/>
        </w:rPr>
        <w:fldChar w:fldCharType="begin"/>
      </w:r>
      <w:r w:rsidR="00C07A86" w:rsidRPr="007C327A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277FB5">
        <w:rPr>
          <w:rFonts w:ascii="Times New Roman" w:hAnsi="Times New Roman"/>
          <w:i/>
          <w:iCs/>
          <w:noProof/>
          <w:sz w:val="24"/>
          <w:szCs w:val="24"/>
        </w:rPr>
        <w:fldChar w:fldCharType="separate"/>
      </w:r>
      <w:hyperlink w:anchor="_Toc363468505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Содержание 2 тома (часть А)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_Toc363468505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3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06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1 СВЕДЕНИЯ О ПЛАНАХ И ПРОГРАММАХ КОМПЛЕКСНОГО СОЦИАЛЬНО-ЭКОНОМИЧЕСКОГО РАЗВИТИЯ МУНИЦИПАЛЬНОГО ОБРАЗОВАНИЯ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_Toc363468506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5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07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2 ОБОСНОВАНИЕ ВАРИАНТОВ РАЗМЕЩЕНИЯ ОБЪЕКТОВ МЕСТНОГО ЗНАЧЕНИЯ МУНИЦИПАЛЬНОГО ОБРАЗОВАНИЯ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</w:hyperlink>
      <w:r w:rsidR="00C07A86" w:rsidRPr="007C327A">
        <w:rPr>
          <w:rStyle w:val="aff0"/>
          <w:rFonts w:ascii="Times New Roman" w:hAnsi="Times New Roman"/>
          <w:color w:val="000000"/>
          <w:sz w:val="24"/>
          <w:szCs w:val="24"/>
        </w:rPr>
        <w:t>9</w:t>
      </w:r>
    </w:p>
    <w:p w:rsidR="00C07A86" w:rsidRPr="007C327A" w:rsidRDefault="00277FB5" w:rsidP="007C327A">
      <w:pPr>
        <w:pStyle w:val="a6"/>
        <w:jc w:val="both"/>
        <w:rPr>
          <w:rStyle w:val="aff0"/>
          <w:rFonts w:ascii="Times New Roman" w:hAnsi="Times New Roman"/>
          <w:sz w:val="24"/>
          <w:szCs w:val="24"/>
        </w:rPr>
      </w:pPr>
      <w:hyperlink w:anchor="_Toc363468508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 xml:space="preserve">2.1 Границы МО </w:t>
        </w:r>
        <w:r w:rsidR="00C07A86" w:rsidRPr="007C327A">
          <w:rPr>
            <w:rFonts w:ascii="Times New Roman" w:hAnsi="Times New Roman"/>
            <w:sz w:val="24"/>
            <w:szCs w:val="24"/>
            <w:lang w:eastAsia="ar-SA"/>
          </w:rPr>
          <w:t>Светлый</w:t>
        </w:r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 xml:space="preserve"> сельсовет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  <w:t>9</w:t>
        </w:r>
      </w:hyperlink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sz w:val="24"/>
          <w:szCs w:val="24"/>
          <w:lang w:eastAsia="ar-SA"/>
        </w:rPr>
        <w:t>2.2 Оценка природно-ресурсного потенциала МО Светлый сельсо- вет……………………………………………………………………………………………………………...…10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hyperlink w:anchor="_Toc363468509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2.3 Функциональные зоны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_Toc363468509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10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Cs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2.4 Особо охраняемые природные территории в границах МО Светлый сельсовет………………………………………………………………………………………………………………...20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10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2.5 Объекты местного значения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_Toc363468510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2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C07A86" w:rsidRPr="007C327A">
        <w:rPr>
          <w:rFonts w:ascii="Times New Roman" w:hAnsi="Times New Roman"/>
          <w:sz w:val="24"/>
          <w:szCs w:val="24"/>
        </w:rPr>
        <w:t>2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11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3 ОЦЕНКА ВОЗМОЖНОГО ВЛИЯНИЯ ОБЪЕКТОВ МЕСТНОГО ЗНАЧЕНИЯ МУНИЦИПАЛЬНОГО ОБРАЗОВАНИЯ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_Toc363468511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2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C07A86" w:rsidRPr="007C327A">
        <w:rPr>
          <w:rFonts w:ascii="Times New Roman" w:hAnsi="Times New Roman"/>
          <w:sz w:val="24"/>
          <w:szCs w:val="24"/>
        </w:rPr>
        <w:t>3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12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4 СВЕДЕНИЯ ОБ ОБЪЕКТАХ ФЕДЕРАЛЬНОГО И РЕГИОНАЛЬНОГО ЗНАЧЕНИЯ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_Toc363468512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2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C07A86" w:rsidRPr="007C327A">
        <w:rPr>
          <w:rFonts w:ascii="Times New Roman" w:hAnsi="Times New Roman"/>
          <w:sz w:val="24"/>
          <w:szCs w:val="24"/>
        </w:rPr>
        <w:t>4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hyperlink w:anchor="_Toc363468513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5 СВЕДЕНИЯ ОБ ОБЪЕКТАХ МЕСТНОГО ЗНАЧЕНИЯ МУНИЦИПАЛЬНОГО РАЙОНА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_Toc363468513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2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C07A86" w:rsidRPr="007C327A">
        <w:rPr>
          <w:rFonts w:ascii="Times New Roman" w:hAnsi="Times New Roman"/>
          <w:sz w:val="24"/>
          <w:szCs w:val="24"/>
        </w:rPr>
        <w:t>5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7C327A">
        <w:rPr>
          <w:rFonts w:ascii="Times New Roman" w:hAnsi="Times New Roman"/>
          <w:i/>
          <w:sz w:val="24"/>
          <w:szCs w:val="24"/>
        </w:rPr>
        <w:t>5.1 Объекты социальной инфраструктуры………………………………………………..……….…..25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7C327A">
        <w:rPr>
          <w:rFonts w:ascii="Times New Roman" w:hAnsi="Times New Roman"/>
          <w:i/>
          <w:sz w:val="24"/>
          <w:szCs w:val="24"/>
        </w:rPr>
        <w:t>5.2 Объекты инженерной инфраструктуры…………………………………………………………....25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7C327A">
        <w:rPr>
          <w:rFonts w:ascii="Times New Roman" w:hAnsi="Times New Roman"/>
          <w:i/>
          <w:sz w:val="24"/>
          <w:szCs w:val="24"/>
        </w:rPr>
        <w:t>5.3 Объекты утилизации и переработки бытовых и промышленных отходов…………………..26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7C327A">
        <w:rPr>
          <w:rFonts w:ascii="Times New Roman" w:hAnsi="Times New Roman"/>
          <w:i/>
          <w:sz w:val="24"/>
          <w:szCs w:val="24"/>
        </w:rPr>
        <w:t>5.4 Объекты транспортной инфраструктуры………………………………………………………....26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14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6 ПЕРЕЧЕНЬ И ХАРАКТЕРИСТИКА ОСНОВНЫХ ФАКТОРОВ РИСКА ВОЗНИКНОВЕНИЯ ЧРЕЗВЫЧАЙНЫХ СИТУАЦИЙ ПРИРОДНОГО И ТЕХНОГЕННОГО ХАРАКТЕРА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_Toc363468514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2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C07A86" w:rsidRPr="007C327A">
        <w:rPr>
          <w:rFonts w:ascii="Times New Roman" w:hAnsi="Times New Roman"/>
          <w:sz w:val="24"/>
          <w:szCs w:val="24"/>
        </w:rPr>
        <w:t>8</w:t>
      </w:r>
    </w:p>
    <w:p w:rsidR="00C07A86" w:rsidRPr="007C327A" w:rsidRDefault="00277FB5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</w:rPr>
      </w:pPr>
      <w:hyperlink w:anchor="_Toc363468515" w:history="1">
        <w:r w:rsidR="00C07A86" w:rsidRPr="007C327A">
          <w:rPr>
            <w:rStyle w:val="aff0"/>
            <w:rFonts w:ascii="Times New Roman" w:hAnsi="Times New Roman"/>
            <w:sz w:val="24"/>
            <w:szCs w:val="24"/>
          </w:rPr>
          <w:t>7 ПЕРЕЧЕНЬ ЗЕМЕЛЬНЫХ УЧАСТКОВ</w:t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ab/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instrText xml:space="preserve"> PAGEREF _Toc363468515 \h </w:instrText>
        </w:r>
        <w:r w:rsidRPr="007C327A">
          <w:rPr>
            <w:rFonts w:ascii="Times New Roman" w:hAnsi="Times New Roman"/>
            <w:webHidden/>
            <w:sz w:val="24"/>
            <w:szCs w:val="24"/>
          </w:rPr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C07A86" w:rsidRPr="007C327A">
          <w:rPr>
            <w:rFonts w:ascii="Times New Roman" w:hAnsi="Times New Roman"/>
            <w:webHidden/>
            <w:sz w:val="24"/>
            <w:szCs w:val="24"/>
          </w:rPr>
          <w:t>3</w:t>
        </w:r>
        <w:r w:rsidRPr="007C327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C07A86" w:rsidRPr="007C327A">
        <w:rPr>
          <w:rFonts w:ascii="Times New Roman" w:hAnsi="Times New Roman"/>
          <w:sz w:val="24"/>
          <w:szCs w:val="24"/>
        </w:rPr>
        <w:t>2</w:t>
      </w:r>
    </w:p>
    <w:p w:rsidR="00C07A86" w:rsidRDefault="00277FB5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fldChar w:fldCharType="end"/>
      </w: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2271BD" w:rsidRPr="007C327A" w:rsidRDefault="002271B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07A86" w:rsidRPr="007C327A" w:rsidRDefault="00C07A86" w:rsidP="004F0C8B">
      <w:pPr>
        <w:pStyle w:val="a6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>2 ТОМ. Часть</w:t>
      </w: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Б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(графические материалы)</w:t>
      </w:r>
    </w:p>
    <w:tbl>
      <w:tblPr>
        <w:tblW w:w="0" w:type="auto"/>
        <w:tblInd w:w="-30" w:type="dxa"/>
        <w:tblLayout w:type="fixed"/>
        <w:tblLook w:val="0000"/>
      </w:tblPr>
      <w:tblGrid>
        <w:gridCol w:w="694"/>
        <w:gridCol w:w="7103"/>
        <w:gridCol w:w="1761"/>
      </w:tblGrid>
      <w:tr w:rsidR="00C07A86" w:rsidRPr="007C327A" w:rsidTr="00C07A86">
        <w:trPr>
          <w:trHeight w:val="39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  <w:proofErr w:type="spell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НАИМЕНОВАНИЕ КАРТЫ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МАСШТАБ</w:t>
            </w:r>
          </w:p>
        </w:tc>
      </w:tr>
      <w:tr w:rsidR="00C07A86" w:rsidRPr="007C327A" w:rsidTr="00C07A86">
        <w:trPr>
          <w:trHeight w:val="39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1.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 xml:space="preserve">Карта современного состояния и использования территорий в границах МО 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Светлый </w:t>
            </w: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сельсовет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1:10 000</w:t>
            </w:r>
          </w:p>
        </w:tc>
      </w:tr>
      <w:tr w:rsidR="00C07A86" w:rsidRPr="007C327A" w:rsidTr="00C07A86">
        <w:trPr>
          <w:trHeight w:val="39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2.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 xml:space="preserve">Карта зон с особыми условиями использования территорий и территорий, подверженных риску возникновения чрезвычайных ситуаций  природного и техногенного характера в границах МО 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Светлый </w:t>
            </w: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сельсовет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1:10 000</w:t>
            </w: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bookmarkStart w:id="12" w:name="__RefHeading__10874_2125071702"/>
      <w:bookmarkEnd w:id="12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1 СВЕДЕНИЯ О ПЛАНАХ И ПРОГРАММАХ КОМПЛЕКСНОГО СОЦИАЛЬНО-ЭКОНОМИЧЕСКОГО РАЗВИТИЯ МУНИЦИПАЛЬНОГО ОБРАЗОВАНИЯ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Муниципальное образование Светлый сельсовет находится в  Сакмарском районе Оренбургской области, Приволжского федерального округа Российской Федерации. В состав муниципального образования Светлый сельсовет входят четыре населённых пункта: с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.О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>рловка, п.Северный, п.Первенец, п.Светлый.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Поселок Светлый является административным центром Светлого сельсовета.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Экономика сельсовета имеет сельскохозяйственную направленность.</w:t>
      </w: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По данным администрации Сакмарского района на территории муниципального образования </w:t>
      </w:r>
      <w:r w:rsidRPr="007C327A">
        <w:rPr>
          <w:rFonts w:ascii="Times New Roman" w:hAnsi="Times New Roman"/>
          <w:sz w:val="24"/>
          <w:szCs w:val="24"/>
          <w:lang w:eastAsia="ar-SA"/>
        </w:rPr>
        <w:t>Светлый</w:t>
      </w:r>
      <w:r w:rsidRPr="007C327A">
        <w:rPr>
          <w:rFonts w:ascii="Times New Roman" w:hAnsi="Times New Roman"/>
          <w:iCs/>
          <w:color w:val="000000"/>
          <w:sz w:val="24"/>
          <w:szCs w:val="24"/>
          <w:lang w:eastAsia="ar-SA"/>
        </w:rPr>
        <w:t xml:space="preserve"> </w:t>
      </w:r>
      <w:r w:rsidRPr="007C327A">
        <w:rPr>
          <w:rFonts w:ascii="Times New Roman" w:hAnsi="Times New Roman"/>
          <w:sz w:val="24"/>
          <w:szCs w:val="24"/>
          <w:lang w:eastAsia="ar-SA"/>
        </w:rPr>
        <w:t>сельсовет действуют следующие планы и программы социально-экономического развития: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 xml:space="preserve">Перечень приоритетных национальных проектов: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7C327A">
        <w:rPr>
          <w:rFonts w:ascii="Times New Roman" w:hAnsi="Times New Roman"/>
          <w:i/>
          <w:iCs/>
          <w:sz w:val="24"/>
          <w:szCs w:val="24"/>
          <w:lang w:eastAsia="ar-SA"/>
        </w:rPr>
        <w:t xml:space="preserve">"Доступное и комфортное жилье - гражданам России";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iCs/>
          <w:sz w:val="24"/>
          <w:szCs w:val="24"/>
          <w:lang w:eastAsia="ar-SA"/>
        </w:rPr>
        <w:t xml:space="preserve">- “Здоровье”;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iCs/>
          <w:sz w:val="24"/>
          <w:szCs w:val="24"/>
          <w:lang w:eastAsia="ar-SA"/>
        </w:rPr>
        <w:t xml:space="preserve">- “Образование”;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iCs/>
          <w:sz w:val="24"/>
          <w:szCs w:val="24"/>
          <w:lang w:eastAsia="ar-SA"/>
        </w:rPr>
        <w:t xml:space="preserve">- “Развитие АПК (в рамках госпрограммы)”.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color w:val="000000"/>
          <w:sz w:val="24"/>
          <w:szCs w:val="24"/>
          <w:lang w:eastAsia="ar-SA"/>
        </w:rPr>
        <w:t xml:space="preserve">Перечень областных целевых программ: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«Энергосбережение и повышение </w:t>
      </w:r>
      <w:proofErr w:type="spellStart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энергоэффективности</w:t>
      </w:r>
      <w:proofErr w:type="spellEnd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 Оренбургской области на 2010-2015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«Совершенствование организации питания учащихся в общеобразовательных учреждениях Оренбургской области на 2011-2013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«Реализация государственной молодежной политики в Оренбургской области «Молодежь Оренбуржья» на 2011-2015 годы;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«Стимулирование развития жилищного строительства в Оренбургской области в 2011–2015 годах»;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«Развитие сети автомобильных дорог Оренбургской области на 2010–2015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«Обеспечение подъезда к населенным пунктам Оренбургской области по автомобильным дорогам с твердым покрытием на 2010–2020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«Дети Оренбуржья на 2011–2013годы»;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«Обеспечение жильем молодых семей в Оренбургской области на 2011 - 2015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-Подпрограмма «Развитие системы </w:t>
      </w:r>
      <w:proofErr w:type="spellStart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градорегулирования</w:t>
      </w:r>
      <w:proofErr w:type="spellEnd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 Оренбургской области на 2011 - 2015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«Охрана, защита и воспроизводство лесов Оренбургской области на 2011 - 2013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«Обеспечение правопорядка на территории Оренбургской области на 2011 - 2014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-Программа «Защитник Отечества на 2011 - 2014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 xml:space="preserve">-Программа «Предупреждение распространения заболевания, вызываемого вирусом иммунодефицита человека (ВИЧ-инфекция) на 2011 - 2014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-Программа «Комплексные меры по совершенствованию системы физической культуры, спорта и туризма в Оренбургской области на 2011 –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«Патриотическое воспитание граждан Оренбургской области на 2011 - 2015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«Реабилитация инвалидов в Оренбургской области на 2011 - 2015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«Модернизация машиностроительного комплекса Оренбургской области на 2011 - 2015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«Развитие туризма в Оренбургской области на 2011 - 2016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«Социальное развитие села до 2013 года»;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«Комплексные меры по организации сбора, утилизации и уничтожения биологических отходов на территории Оренбургской области на 2012–2016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«Модернизация здравоохранения Оренбургской области на 2011-2012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«Сохранение и восстановление плодородия почв земель сельскохозяйственного назначения и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агроландшафтов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Оренбургской области на 2011-2013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«Строительство обходов городов и населенных пунктов Оренбургской области на 2012-2020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«Социальная поддержка семей с детьми-инвалидами «Мы вместе»;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«Педагогические кадры Оренбуржья на 2009-2015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«Диссеминация инновационного опыта в системе образования Оренбургской области на 2010-2015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«Развитие торговли в Оренбургской области на 2012–2014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«Повышение эффективности бюджетных расходов Оренбургской области на 2011–2013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«Организация отдыха и оздоровления детей Оренбургской области на 2011–2014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«Старшее поколение на 2011–2013 годы»; 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-Подпрограмма «Развитие материальной базы строительного комплекса Оренбургской области в 2011–2015 годах»;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-Подпрограмма «Комплексное освоение и развитие территорий в целях жилищного строительства в 2011–2015 годах»;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-Подпрограмма «Переселение граждан Оренбургской области из многоквартирных жилых домов, признанных аварийными, в 2011–2015 годах»;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-Подпрограмма «Развитие ипотечного жилищного кредитования в Оренбургской области в 2011–2015 годах»;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FF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-Программа «Модернизация телекоммуникационной инфраструктуры в Оренбургской области на 2012–2016 годы»;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FF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 xml:space="preserve">Перечень районных целевых программ: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 «Безопасность образовательных учреждений» на 2012-2015 годы;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«Молодежь Сакмарского района на 2011-2015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«Развитие туризма в Сакмарском районе  на 2011-2016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«Обеспечение жильем  молодых семей в Сакмарском районе на 2011-2015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«Комплексные  меры  по совершенствованию системы физической культуры и спорта  в Сакмарском районе на 2011-2015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«Развитие дошкольного образования Сакмарского района на 2011-2015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«Патриотическое воспитание граждан Сакмарского района на 2011-2015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>-Целевая программа «Развитие муниципальной системы образования  Сакмарского района на 2011-2013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«Пожарная безопасность лечебно-профилактических учреждений МУЗ «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Сакмарская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ЦРБ» Сакмарского района на 2011-2013 гг.»;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-Целевая программа «Энергосбережение и повышение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энергоэффективности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в Сакмарском районе на 2010-2015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-Районная программа  дополнительных мер  по снижению напряженности на рынке труда муниципального образования Сакмарский район Оренбургской области;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«Снижение административных барьеров, оптимизации и повышение качества  предоставления государственных и муниципальных услуг на территории  муниципального образования  Сакмарский район на 2012-2014 г»;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-Программа «Подготовки  граждан, выразивших желание стать опекунами или  попечителями несовершеннолетних граждан, либо  принять детей, оставшихся без попечения родителей, в семью на воспитание в иных установленных семейным законодательством Российской Федерации формах»;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-Районная программа «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Вакцинопрофилактика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на 2012-2014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-Районная целевая программа   «Совершенствование  организации питания учащихся  в общеобразовательных учреждениях Сакмарского района на 2011-2013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-Целевая программа  «Создание системы кадастра недвижимости  и управления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земельно-имущетвенным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комплексом на территории Сакмарского района на 2012-2015 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«Стимулирование развития  жилищного строительства  на территории Сакмарского района в 2012-2015годы»;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-Целевая программа «Развитие торговли в Сакмарском районе Оренбургской области» на 2012-2014 годы».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shd w:val="clear" w:color="auto" w:fill="FFFF00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Также в Сакмарском районе разработана “Стратегия социально – экономического развития Сакмарского района до 2020 года”.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shd w:val="clear" w:color="auto" w:fill="FFFF00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bookmarkStart w:id="13" w:name="__RefHeading__10876_2125071702"/>
      <w:bookmarkEnd w:id="13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 xml:space="preserve">2 ОБОСНОВАНИЕ </w:t>
      </w:r>
      <w:proofErr w:type="gramStart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ВАРИАНТОВ РАЗМЕЩЕНИЯ ОБЪЕКТОВ МЕСТНОГО ЗНАЧЕНИЯ МУНИЦИПАЛЬНОГО ОБРАЗОВАНИЯ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bookmarkStart w:id="14" w:name="__RefHeading__10878_2125071702"/>
      <w:bookmarkEnd w:id="14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 xml:space="preserve">2.1 Границы МО </w:t>
      </w:r>
      <w:r w:rsidRPr="007C327A">
        <w:rPr>
          <w:rFonts w:ascii="Times New Roman" w:hAnsi="Times New Roman"/>
          <w:i/>
          <w:sz w:val="24"/>
          <w:szCs w:val="24"/>
          <w:shd w:val="clear" w:color="auto" w:fill="FFFFFF"/>
          <w:lang w:eastAsia="ar-SA"/>
        </w:rPr>
        <w:t xml:space="preserve">Светлый </w:t>
      </w:r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сельсовет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МО Светлый сельсовет расположен в</w:t>
      </w:r>
      <w:r w:rsidRPr="007C327A">
        <w:rPr>
          <w:rFonts w:ascii="Times New Roman" w:hAnsi="Times New Roman"/>
          <w:color w:val="FF0000"/>
          <w:sz w:val="24"/>
          <w:szCs w:val="24"/>
          <w:lang w:eastAsia="ar-SA"/>
        </w:rPr>
        <w:t xml:space="preserve"> </w:t>
      </w:r>
      <w:r w:rsidRPr="007C327A">
        <w:rPr>
          <w:rFonts w:ascii="Times New Roman" w:hAnsi="Times New Roman"/>
          <w:sz w:val="24"/>
          <w:szCs w:val="24"/>
          <w:lang w:eastAsia="ar-SA"/>
        </w:rPr>
        <w:t>центральной</w:t>
      </w:r>
      <w:r w:rsidRPr="007C327A">
        <w:rPr>
          <w:rFonts w:ascii="Times New Roman" w:hAnsi="Times New Roman"/>
          <w:color w:val="FF0000"/>
          <w:sz w:val="24"/>
          <w:szCs w:val="24"/>
          <w:lang w:eastAsia="ar-SA"/>
        </w:rPr>
        <w:t xml:space="preserve"> </w:t>
      </w:r>
      <w:r w:rsidRPr="007C327A">
        <w:rPr>
          <w:rFonts w:ascii="Times New Roman" w:hAnsi="Times New Roman"/>
          <w:sz w:val="24"/>
          <w:szCs w:val="24"/>
          <w:lang w:eastAsia="ar-SA"/>
        </w:rPr>
        <w:t>части Сакмарского района и граничит с Оренбургским районом.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color w:val="000000"/>
          <w:sz w:val="24"/>
          <w:szCs w:val="24"/>
        </w:rPr>
        <w:t xml:space="preserve">Предлагаемые проектом границы населенных пунктов представлены на карте современного состояния и использования территорий в границах МО </w:t>
      </w:r>
      <w:r w:rsidRPr="007C327A">
        <w:rPr>
          <w:rFonts w:ascii="Times New Roman" w:hAnsi="Times New Roman"/>
          <w:sz w:val="24"/>
          <w:szCs w:val="24"/>
          <w:lang w:eastAsia="ar-SA"/>
        </w:rPr>
        <w:t>Светлый</w:t>
      </w:r>
      <w:r w:rsidRPr="007C327A">
        <w:rPr>
          <w:rFonts w:ascii="Times New Roman" w:hAnsi="Times New Roman"/>
          <w:color w:val="000000"/>
          <w:sz w:val="24"/>
          <w:szCs w:val="24"/>
        </w:rPr>
        <w:t xml:space="preserve"> сельсовет в графических материалах проекта.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Село Орловка.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настоящее время численность населения села составляет 424 чел.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Поселок Северный.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настоящее время численность населения поселка составляет 138 чел.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Поселок Первенец.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настоящее время численность населения поселка составляет 81 чел.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Поселок Светлый.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настоящее время численность населения поселка составляет 2292чел.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2.2</w:t>
      </w:r>
      <w:r w:rsidRPr="007C327A">
        <w:rPr>
          <w:rFonts w:ascii="Times New Roman" w:hAnsi="Times New Roman"/>
          <w:i/>
          <w:sz w:val="24"/>
          <w:szCs w:val="24"/>
          <w:lang w:eastAsia="ar-SA"/>
        </w:rPr>
        <w:t xml:space="preserve">Оценка природно-ресурсного потенциала МО </w:t>
      </w:r>
      <w:r w:rsidRPr="007C327A">
        <w:rPr>
          <w:rFonts w:ascii="Times New Roman" w:hAnsi="Times New Roman"/>
          <w:i/>
          <w:sz w:val="24"/>
          <w:szCs w:val="24"/>
          <w:shd w:val="clear" w:color="auto" w:fill="FFFFFF"/>
          <w:lang w:eastAsia="ar-SA"/>
        </w:rPr>
        <w:t xml:space="preserve">Светлый </w:t>
      </w:r>
      <w:r w:rsidRPr="007C327A">
        <w:rPr>
          <w:rFonts w:ascii="Times New Roman" w:hAnsi="Times New Roman"/>
          <w:i/>
          <w:sz w:val="24"/>
          <w:szCs w:val="24"/>
          <w:lang w:eastAsia="ar-SA"/>
        </w:rPr>
        <w:t>сельсовет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3"/>
        <w:gridCol w:w="3711"/>
        <w:gridCol w:w="3715"/>
      </w:tblGrid>
      <w:tr w:rsidR="00C07A86" w:rsidRPr="007C327A" w:rsidTr="00C07A86">
        <w:tc>
          <w:tcPr>
            <w:tcW w:w="2143" w:type="dxa"/>
            <w:shd w:val="clear" w:color="auto" w:fill="F2DBDB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Факторы</w:t>
            </w:r>
          </w:p>
        </w:tc>
        <w:tc>
          <w:tcPr>
            <w:tcW w:w="3711" w:type="dxa"/>
            <w:shd w:val="clear" w:color="auto" w:fill="F2DBDB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Сильные стороны</w:t>
            </w:r>
          </w:p>
        </w:tc>
        <w:tc>
          <w:tcPr>
            <w:tcW w:w="3715" w:type="dxa"/>
            <w:shd w:val="clear" w:color="auto" w:fill="F2DBDB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Слабые стороны</w:t>
            </w:r>
          </w:p>
        </w:tc>
      </w:tr>
      <w:tr w:rsidR="00C07A86" w:rsidRPr="007C327A" w:rsidTr="00C07A86">
        <w:tc>
          <w:tcPr>
            <w:tcW w:w="2143" w:type="dxa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3711" w:type="dxa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 xml:space="preserve">1.Близкое расположение к областному центру </w:t>
            </w:r>
            <w:proofErr w:type="gramStart"/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г</w:t>
            </w:r>
            <w:proofErr w:type="gramEnd"/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 xml:space="preserve">. Оренбург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 xml:space="preserve">2.Близкое расположение к </w:t>
            </w: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lastRenderedPageBreak/>
              <w:t>автодороге федерального значения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</w:rPr>
              <w:t>3.Наличие разветвленной сети дорог  регионального значения.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4.Р</w:t>
            </w: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</w:rPr>
              <w:t>азмещение территории сельсовета в зоне Оренбургской агломерации.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5.Наличие Южно – Уральской  железной дороги.</w:t>
            </w:r>
          </w:p>
        </w:tc>
        <w:tc>
          <w:tcPr>
            <w:tcW w:w="3715" w:type="dxa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A86" w:rsidRPr="007C327A" w:rsidTr="00C07A86">
        <w:trPr>
          <w:trHeight w:val="53"/>
        </w:trPr>
        <w:tc>
          <w:tcPr>
            <w:tcW w:w="2143" w:type="dxa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lastRenderedPageBreak/>
              <w:t>Природно-рекреационные ресурсы</w:t>
            </w:r>
          </w:p>
        </w:tc>
        <w:tc>
          <w:tcPr>
            <w:tcW w:w="3711" w:type="dxa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1 Наличие минерально-сырьевых ресурсов пригодных для переработки (песок, глина, известняк).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  <w:t>2. Водные ресурсы: река Сакмара и ее притоки.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</w:p>
        </w:tc>
        <w:tc>
          <w:tcPr>
            <w:tcW w:w="3715" w:type="dxa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1. Наличие территорий, подверженных развитию экзогенно-геологических процессов (боковая и овражная эрозия).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2. Засухи.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27A">
              <w:rPr>
                <w:rFonts w:ascii="Times New Roman" w:hAnsi="Times New Roman"/>
                <w:sz w:val="24"/>
                <w:szCs w:val="24"/>
              </w:rPr>
              <w:t>3.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Светлый</w:t>
            </w:r>
            <w:r w:rsidRPr="007C327A">
              <w:rPr>
                <w:rFonts w:ascii="Times New Roman" w:hAnsi="Times New Roman"/>
                <w:sz w:val="24"/>
                <w:szCs w:val="24"/>
              </w:rPr>
              <w:t xml:space="preserve"> сельсовет, как и вся область, расположен в зоне рискованного земледелия.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eastAsia="Calibri" w:hAnsi="Times New Roman"/>
                <w:spacing w:val="-5"/>
                <w:sz w:val="24"/>
                <w:szCs w:val="24"/>
                <w:lang w:eastAsia="ar-SA"/>
              </w:rPr>
            </w:pP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bookmarkStart w:id="15" w:name="__RefHeading__10880_2125071702"/>
      <w:bookmarkEnd w:id="15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2.3 Функциональные зоны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Функциональное зонирование территории, с сохранением исторически сложившегося назначения территорий.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Назначение  и параметры функциональных зон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Функциональное зонирование муниципального образования Светлый  сельсовет представлено зонированием территорий в границах муниципального образования и в границах населённых пунктов.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В границах муниципального образования территория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зонирована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по следующим видам: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сельскохозяйственного использования;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производственного использования;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специального назначения;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инженерной и транспортной инфраструктуры;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рекреационного назначения;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границах населённых пунктов определён следующий состав зон: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Жилая зона;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Общественно-деловая зона;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сельскохозяйственного использования;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производственного использования;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специального назначения;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инженерной и транспортной инфраструктуры;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Зона рекреационного назначения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sz w:val="24"/>
          <w:szCs w:val="24"/>
          <w:u w:val="single"/>
          <w:lang w:eastAsia="ar-SA"/>
        </w:rPr>
        <w:t>Жилая зона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Жилые зоны предусматриваются в целях создания для населения удобной, здоровой и безопасной среды проживания. Объекты и виды деятельности, несоответствующие требованиям СП 42.13330.2011 «Градостроительство. Планировка и застройка городских и сельских поселений», не допускается размещать в жилых зонах.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>В жилых зонах размещаются дома усадебные с приусадебными участками; отдельно стоящие, встроенные или пристроенные объекты социального и культурно-бытового обслуживания населения с учетом социальных нормативов обеспеченности (в т.ч. услуги первой необходимости в пределах пешеходной доступности не более 30 мин.); гаражи и автостоянки для легковых автомобилей; культовые объекты.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м.)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К жилым зонам относятся также территории садово-дачной застройки, расположенной в пределах границ населенного пункта.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Для жителей многоквартирных жилых домов хозяйственные постройки для скота и птицы могут выделяться за пределами жилой зоны; при многоквартирных домах допускается устройство встроенных или отдельно стоящих коллективных подземных хранилищ сельскохозяйственных продуктов.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основе проектных решений по формированию жилой среды использовались следующие принципы: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изыскание наиболее пригодных площадок для нового жилищного строительства на возвышенных местах с глубоким стоянием грунтовых вод, хорошо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инсолируемых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>, расположенных выше по рельефу и течению рек по отношению к производственным объектам;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увеличение темпов индивидуального жилищного строительства с учетом привлечения различных внебюджетных и негосударственных источников, в том числе привлечения сре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дств гр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>аждан и за счёт участия в государственных и областных целевых программах;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выход на показатель обеспеченности не менее 30 м кв. общей площади на человека.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Такой подход позволит значительно улучшить жилую среду, оптимизировать затраты на создание полноценной социальной и инженерной инфраструктуры.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iCs/>
          <w:sz w:val="24"/>
          <w:szCs w:val="24"/>
          <w:lang w:eastAsia="ar-SA"/>
        </w:rPr>
        <w:t>Основные проектные предложения в решении жилищной проблемы и новая жилищная политика</w:t>
      </w:r>
      <w:r w:rsidRPr="007C327A">
        <w:rPr>
          <w:rFonts w:ascii="Times New Roman" w:hAnsi="Times New Roman"/>
          <w:sz w:val="24"/>
          <w:szCs w:val="24"/>
          <w:lang w:eastAsia="ar-SA"/>
        </w:rPr>
        <w:t>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освоение новых площадок под жилищное строительство;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наращивание темпов строительства жилья за счет индивидуального строительства;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обустройство жилых домов инженерной инфраструктурой;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ликвидация ветхого, аварийного фонда;       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и их застройку.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  <w:t>Основные параметры жилых зон:</w:t>
      </w:r>
      <w:r w:rsidRPr="007C327A">
        <w:rPr>
          <w:rFonts w:ascii="Times New Roman" w:hAnsi="Times New Roman"/>
          <w:bCs/>
          <w:i/>
          <w:sz w:val="24"/>
          <w:szCs w:val="24"/>
          <w:lang w:eastAsia="ar-SA"/>
        </w:rPr>
        <w:tab/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lang w:eastAsia="ar-SA"/>
        </w:rPr>
        <w:t>Тип застройки – усадебный.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lang w:eastAsia="ar-SA"/>
        </w:rPr>
        <w:t>Площадь участка под индивидуальную застройку  - 15 соток.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lang w:eastAsia="ar-SA"/>
        </w:rPr>
        <w:t>Этажность – до 3 этажей.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>Расстояния между жилыми зданиями, жилыми и общественными, следует принимать на основе расчетов инсоляции и освещенности в соответствии с требованиями, приведенными в СП 52.13330, а также в соответствии с требованиями глав 15-16 «Требования пожарной безопасности при градостроительной деятельности» раздела II «Требования пожарной безопасности при проектировании, строительстве и эксплуатации поселений и городских округов» Технического регламента о требованиях пожарной безопасности (Федеральный закон от22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июля 2008 г. № 123-ФЗ).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lastRenderedPageBreak/>
        <w:t xml:space="preserve"> Бытовые разрывы между длинными сторонами жилых зданий высотой 2-3 этажа следует принимать не менее 15 м; между длинными сторонами и торцами этих же зданий с окнами из жилых комнат – не менее 10 м. 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м, а расстояния до сарая для содержания скота и птицы – 10 м. Расстояние до границы участка должно быть от стены жилого дома 3 м., от хозяйственных построек – 1 м. 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Допускается блокировка жилых домов, а также хозяйственных построек на смежных приусадебных земельных участках по взаимному согласию домовладельцев с учетом противопожарных требований. Указанные нормы распространяются и на пристраиваемые к существующим жилым домам хозяйственные постройки.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менее, </w:t>
      </w: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>м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>: одиночные или двойные - 10, до 8 блоков - 25, свыше 8 до 30 блоков - 50. Площадь застройки сблокированных сараев не должна превышать 800 кв.м. Расстояние от сараев для скота и птицы до шахтных колодцев должно быть не менее 20 м. Допускается пристройка хозяйственного сарая (в том числе для скота и птицы), гаража, бани, теплицы к усадебному дому с соблюдением требований санитарных и противопожарных норм.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Предельные значения коэффициентов застройки и коэффициентов плотности застройки территории жилых зон принимается </w:t>
      </w: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>согласно правил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землепользования и застройки.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kern w:val="1"/>
          <w:sz w:val="24"/>
          <w:szCs w:val="24"/>
          <w:u w:val="single"/>
          <w:lang w:eastAsia="ar-SA"/>
        </w:rPr>
      </w:pPr>
      <w:r w:rsidRPr="007C327A">
        <w:rPr>
          <w:rFonts w:ascii="Times New Roman" w:hAnsi="Times New Roman"/>
          <w:bCs/>
          <w:i/>
          <w:color w:val="000000"/>
          <w:kern w:val="1"/>
          <w:sz w:val="24"/>
          <w:szCs w:val="24"/>
          <w:u w:val="single"/>
          <w:lang w:eastAsia="ar-SA"/>
        </w:rPr>
        <w:t>Общественно-деловая, рекреационная зоны. Развитие системы центров.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  <w:u w:val="single"/>
          <w:lang w:eastAsia="ar-SA"/>
        </w:rPr>
        <w:t>Общественно-деловые зоны</w:t>
      </w: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профессионального образования, административных учреждений, культовых зданий, стоянок автотранспорта,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В перечень объектов недвижимости, разрешенных к размещению в общественно-деловых зонах, могут включаться жилые дома, гостиницы, подземные гаражи.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Общественно-деловые зоны формируются как центры деловой, финансовой и общественной активности в центральной части села, на территориях, прилегающих к главным улицам и объектам массового посещения.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>Общественно-деловые зоны запланированы в привязке к сложившимся центрам, с учётом размещения в них  расчётного количества основных объектов соцкультбыта.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  <w:t>Параметры застройки общественно-деловых зон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Предельные значения коэффициентов застройки и коэффициентов плотности застройки территории общественно-деловых зон принимается </w:t>
      </w: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>согласно правил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землепользования и застройки.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Предельные значения параметров земельных участков и разрешенного строительства в общественно-деловых зонах устанавливаются посредством подготовки проектов планировки территории.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u w:val="single"/>
          <w:lang w:eastAsia="ar-SA"/>
        </w:rPr>
        <w:t>Рекреационные зоны</w:t>
      </w: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включают в себя парки, скверы, бульвары.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lastRenderedPageBreak/>
        <w:t xml:space="preserve">На территории рекреационных зон не допускаются строительство новых и расширение действующих промышленных, коммунально-складских и других объектов, непосредственно не связанных с эксплуатацией объектов рекреационного, оздоровительного и природоохранного назначения.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>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>При размещении скверов и садов следует максимально сохранять участки с существующими насаждениями и водоемами.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Озелененные территории общего пользования должны быть благоустроены и оборудованы малыми архитектурными формами: фонтанами и бассейнами, лестницами, пандусами, подпорными стенками, беседками, светильниками и др.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За границами населенных пунктов </w:t>
      </w:r>
      <w:r w:rsidRPr="007C327A">
        <w:rPr>
          <w:rFonts w:ascii="Times New Roman" w:hAnsi="Times New Roman"/>
          <w:sz w:val="24"/>
          <w:szCs w:val="24"/>
          <w:lang w:eastAsia="ar-SA"/>
        </w:rPr>
        <w:t>к зонам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граждан, в том числе: пригородные зеленые зоны, леса (при наличии памятников, природных и лечебных ресурсов, курортных зон), городские леса и парки, охраняемые природные ландшафты, этнографические и усадебные парки, памятники садово-паркового искусства, охраняемые береговые линии, охраняемые речные системы, биологические станции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микрозаповедники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 другие объекты.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состав зон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лесопарки, учебно-туристические тропы, трассы, детские и спортивные лагеря, другие аналогичные объекты.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 землях рекреационного назначения запрещается деятельность, не соответствующая их целевому назначению.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 озелененных территориях городских округов и поселений запрещается хозяйственная деятельность, отрицательно влияющая на выполнение ими экологических, санитарно-гигиенических и рекреационных функций. Все городские леса относятся к первой группе лесов и используются в соответствии с требованиями Лесного кодекса и настоящих нормативов.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u w:val="single"/>
          <w:lang w:eastAsia="ar-SA"/>
        </w:rPr>
        <w:t>Основные параметры рекреационной зоны:</w:t>
      </w:r>
      <w:r w:rsidRPr="007C327A">
        <w:rPr>
          <w:rFonts w:ascii="Times New Roman" w:hAnsi="Times New Roman"/>
          <w:bCs/>
          <w:sz w:val="24"/>
          <w:szCs w:val="24"/>
          <w:lang w:eastAsia="ar-SA"/>
        </w:rPr>
        <w:tab/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Площадь территории садов и скверов не менее, </w:t>
      </w:r>
      <w:proofErr w:type="gramStart"/>
      <w:r w:rsidRPr="007C327A">
        <w:rPr>
          <w:rFonts w:ascii="Times New Roman" w:hAnsi="Times New Roman"/>
          <w:bCs/>
          <w:sz w:val="24"/>
          <w:szCs w:val="24"/>
          <w:lang w:eastAsia="ar-SA"/>
        </w:rPr>
        <w:t>га</w:t>
      </w:r>
      <w:proofErr w:type="gramEnd"/>
      <w:r w:rsidRPr="007C327A">
        <w:rPr>
          <w:rFonts w:ascii="Times New Roman" w:hAnsi="Times New Roman"/>
          <w:bCs/>
          <w:sz w:val="24"/>
          <w:szCs w:val="24"/>
          <w:lang w:eastAsia="ar-SA"/>
        </w:rPr>
        <w:t>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   садов жилых районов ........................................  3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 xml:space="preserve">    скверов ...........................................................  0,5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  <w:t xml:space="preserve">Производственная зона. Зоны транспортной и инженерной инфраструктур.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состав производственных зон, зон инженерной и транспортной инфраструктур могут включаться: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производственные зоны - зоны размещения производственных объектов с различными нормативами воздействия на окружающую среду, как правило, требующие устройства санитарно-защитных зон шириной более 50 м, а также железнодорожных подъездных путей;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- иные виды производственной (научно-производственные зоны), инженерной и транспортной инфраструктур.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u w:val="single"/>
          <w:lang w:eastAsia="ar-SA"/>
        </w:rPr>
        <w:lastRenderedPageBreak/>
        <w:t>В производственных зонах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Примечания. 1.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2. При реконструкции объектов сложившейся производственной застройки, являющихся памятниками истории и культуры, необходимо предусматривать меры по сохранению их исторического облика.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Примечание. Участки санитарно-защитных зон предприятий не включаются в состав территории предприятий и могут быть предоставлены для размещения объектов, строительство которых допускается на территории этих зон. Оздоровительные, санитарно-гигиенические, строительные и другие мероприятия, связанные с охраной окружающей среды на прилегающей к предприятию загрязненной территории, включая благоустройство санитарно-защитных зон, осуществляются за счет предприятия, имеющего вредные выбросы.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Функционально-планировочную организацию промышленных зон необходимо предусматривать в виде кварталов (в границах красных линий), в пределах которых размещаются основные и вспомогательные производства 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составлять, как правило, не менее 60% всей территории промышленной зоны.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Примечания. 1.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(или при отсутствии ограждения - в соответствующих ей условных границах), а также учреждений обслуживания с включением площади, занятой железнодорожными станциями, к общей территории промышленной зоны, определенной генеральным планом города. Занятые территории могут включать резервные участки на площадках предприятий и других объектов, намеченные в соответствии с заданием на проектирование для размещения на них зданий и сооружений.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2. 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18.13330.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3. Плотность застройки кварталов, занимаемых промышленными предприятиями и другими объектами, как правило, не должна превышать показателей, приведенных в Приложении Г СП 42.13330.2011.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об охране подземных вод.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Размеры санитарно-защитных зон следует устанавливать с учетом требований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СанПиН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Минимальную площадь озеленения санитарно-защитных зон следует принимать в зависимость от ширины зоны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, %: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до 300 м ................................................. 60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св. 300 до 1000 м ....................................50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" 1000 " 3000 м ...................................... 40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" 3000 м ................................................. 20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Для объектов по изготовлению и хранению взрывчатых материалов и изделий на их основе (организаций, арсеналов, баз, складов ВМ) следует предусматривать запретные (опасные) зоны и районы. Размеры этих зон и районов определяются специальными нормативными документами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Ростехнадзора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(едиными правилами безопасности при взрывных работах) и других федеральных органов исполнительной власти, в ведении которых находятся указанные объекты. Застройка запретных (опасных) зон жилыми, общественными и производственными зданиями и сооружениями не допускается. В случае особой необходимости строительство зданий, сооружений и других объектов на территории запретной (опасной) зоны может осуществляться по согласованию с организацией, в ведении которой находится склад, и органами местного самоуправления районов.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Состав научно-производственных и условия размещения отдельных НИИ и опытных произво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дств сл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>едует определять с учетом факторов влияния на окружающую среду.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жилую застройку, формируя их по типу зон смешанной застройки.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На территориях коммунально-складских зон (районов) следует размещать предприятия пищевой (пищевкусовой, мясной и молочной) промышленности,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общетоварные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(продовольственные и непродовольственные), специализированные склады (холодильники, картофеле-, овощ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е-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фруктохранилища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>), предприятия коммунального, транспортного и бытового обслуживания населения города.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Систему складских комплексов, не связанных с непосредственным повседневным обслуживанием населения, следует формировать за пределами крупных и крупнейших городов, приближая их к узлам внешнего, преимущественно железнодорожного транспорта,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логистическим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комплексам.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За пределами территории городов, в обособленных складских районах с соблюдением санитарных, противопожарных и специальных норм следует предусматривать рассредоточенное размещение складов государственных резервов, складов нефти и нефтепродуктов первой группы, перевалочных баз нефти и нефтепродуктов, складов сжиженных газов, складов взрывчатых материалов и базисных складов сильнодействующих ядовитых веществ, базисных складов продовольствия, фуража и промышленного сырья, лесоперевалочных баз базисных складов лесных и строительных материалов.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При размещении складов всех видов необходимо максимально использовать подземное пространство. Допускается при наличии отработанных горных выработок и участков </w:t>
      </w: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недр, пригодных для размещения в них объектов, осуществлять строительство хранилищ продовольственных и промышленных товаров, ценной документации, распределительных холодильников и других объектов, требующих обеспечения устойчивости к внешним воздействиям и надежности функционирования. Размещение объектов следует осуществлять в соответствии с требованиями нормативных документов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Ростехнадзора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>, регламентирующих использование подземного пространства в целях, не связанных с добычей полезных ископаемых (ПБ-03-428 [17]).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Размеры земельных участков, площадь зданий и вместимость складов, предназначенных для обслуживания поселений, определяются региональными градостроительными нормативами или на основе расчета. Рекомендуемые нормативы приведены в Приложении Е.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Размеры санитарно-защитных зон для картофеле-, овощ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е-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фруктохранилищ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следует принимать не менее 50 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предусматривать меры по защите жилых и общественно-деловых зон от неблагоприятного влияния производственных комплексов, а также самих этих комплексов, если они связаны с производством пищевых продуктов, от загрязнений и вредных воздействий иных производств, транспортных и коммунальных сооружений. Меры по исключению загрязнения почв, поверхностных и подземных вод, поверхностных водосборов, водоемов и атмосферного воздуха должны соответствовать санитарным нормам.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формировании производственных зон сельских поселений расстояния между сельскохозяйственными предприятиями, зданиями и сооружениями следует предусматривать минимально допустимые исходя из санитарных, ветеринарных, противопожарных требований и норм технологического проектирования.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 территории животноводческих комплексов и ферм и в их санитарно-защитных зонах не допускается размещать предприятия по переработке сельскохозяйственной продукции, объекты питания и объекты, к ним приравненные.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Объекты с размерами санитарно-защитной зоны свыше 300 м следует размещать на обособленных земельных участках за пределами границ сельских населенных пунктов.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Линии электропередачи, связи и других линейных сооружений местного значения следует размещать по границам полей севооборотов вдоль дорог, лесополос, существующих трасс с таким расчетом, чтобы обеспечивался свободный доступ к коммуникациям с территорий, не занятых сельскохозяйственными угодьями.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сети.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размещении сельскохозяйственных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8.6 и раздела 14 настоящего свода правил.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u w:val="single"/>
          <w:lang w:eastAsia="ar-SA"/>
        </w:rPr>
        <w:t>Зоны транспортной и инженерной инфраструктур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следует предусматривать для размещения сооружений и коммуникаций железнодорожного, автомобильного транспорта, связи, инженерного оборудования с учетом их перспективного развития.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целях обеспечения нормальной эксплуатации сооружений, устройства других объектов внешнего транспорта допускается устанавливать охранные зоны.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Отвод земель для сооружений и устройств внешнего транспорта осуществляется в установленном порядке. Режим использования этих земель определяется градостроительной документацией в соответствии с действующим законодательством.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Размещение сооружений, коммуникаций и других объектов транспорта на территории поселений должно соответствовать требованиям, приведенным в разделах 14 и 15 СП 42.13330.2011.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Для предотвращения неблагоприятных воздействий при эксплуатации объектов транспорта, связи, инженерных коммуникаций устанавливаются санитарно-защитные </w:t>
      </w: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>зоны от этих объектов до границ территорий жилых, общественно-деловых и рекреационных зон.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Территории в границах отвода сооружений и коммуникаций транспорта, связи, инженерного оборудования и их санитарно-защитных зон подлежат благоустройству и озеленению с учетом технических и эксплуатационных характеристик этих объектов.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Сооружения и коммуникации транспорта, связи, инженерного оборудования, эксплуатация которых оказывает прямое или косвенное воздействие на безопасность населения, размещаются за пределами поселений.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  <w:t xml:space="preserve">Зона сельскохозяйственного использования (в границах МО)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составе земель сельскохозяйственного назначения выделяются сельскохозяйственные угодья, земли, занятые внутрихозяйственными дорогами, коммуникациями, лесными насаждениями, предназначенными для обеспечения защиты земель от воздействия негативных (вредных) природных, антропогенных и техногенных явлений, водными объектами, а также зданиями, строениями, сооружениями, используемыми для производства, хранения и первичной переработки сельскохозяйственной продукции.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Земли сельскохозяйственного использования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сельскохозяйственным производством целей: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гражданами, в том числе ведущими крестьянские (фермерские) хозяйства, личные подсобные хозяйства, садоводство, животноводство, огородничество;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некоммерческими организациями, в том числе потребительскими кооперативами, религиозными организациями;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казачьими обществами;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опытно-производственными, учебными, учебно-опытными и учебно-производственными подразделениями научно-исследовательских организаций, образовательных учреждений сельскохозяйственного профиля и общеобразовательных учреждений;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Использование земель сельскохозяйственного назначения или земельных участков в составе таких земель, предоставляемых на период осуществления строительства дорог, линий электропередачи, линий связи (в том числе линейно-кабельных сооружений), нефтепроводов, газопроводов и иных трубопроводов,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категорий.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u w:val="single"/>
          <w:lang w:eastAsia="ar-SA"/>
        </w:rPr>
        <w:t xml:space="preserve">Зона сельскохозяйственного использования (в границах населённых пунктов)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 xml:space="preserve">Земельные участки в составе зон сельскохозяйственного использования в населенных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- используются в целях ведения сельскохозяйственного производства до момента изменения вида их </w:t>
      </w: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>использования в соответствии с генеральными планами населенных пунктов и правилами землепользования и застройки.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sz w:val="24"/>
          <w:szCs w:val="24"/>
          <w:u w:val="single"/>
          <w:lang w:eastAsia="ar-SA"/>
        </w:rPr>
        <w:t>Зона специального назначения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Cs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2.4</w:t>
      </w:r>
      <w:proofErr w:type="gramStart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О</w:t>
      </w:r>
      <w:proofErr w:type="gramEnd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собо охраняемые природные территории в границах МО 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Светлый </w:t>
      </w: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сельсовет.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Памятник природы областного значения Рудники у Косматой шишки (</w:t>
      </w:r>
      <w:r w:rsidRPr="007C327A">
        <w:rPr>
          <w:rFonts w:ascii="Times New Roman" w:hAnsi="Times New Roman"/>
          <w:sz w:val="24"/>
          <w:szCs w:val="24"/>
          <w:lang w:val="en-US"/>
        </w:rPr>
        <w:t>S</w:t>
      </w:r>
      <w:r w:rsidRPr="007C327A">
        <w:rPr>
          <w:rFonts w:ascii="Times New Roman" w:hAnsi="Times New Roman"/>
          <w:sz w:val="24"/>
          <w:szCs w:val="24"/>
        </w:rPr>
        <w:t xml:space="preserve"> - 25,0 га).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На территории памятника природы запрещается: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– уничтожать информативные выходы горных пород и форм рельефа;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 xml:space="preserve">– изменять ландшафт (исключить распашку земли, вырубку деревьев и кустарников, </w:t>
      </w:r>
      <w:proofErr w:type="spellStart"/>
      <w:r w:rsidRPr="007C327A">
        <w:rPr>
          <w:rFonts w:ascii="Times New Roman" w:hAnsi="Times New Roman"/>
          <w:sz w:val="24"/>
          <w:szCs w:val="24"/>
        </w:rPr>
        <w:t>вытаптывание</w:t>
      </w:r>
      <w:proofErr w:type="spellEnd"/>
      <w:r w:rsidRPr="007C327A">
        <w:rPr>
          <w:rFonts w:ascii="Times New Roman" w:hAnsi="Times New Roman"/>
          <w:sz w:val="24"/>
          <w:szCs w:val="24"/>
        </w:rPr>
        <w:t xml:space="preserve"> травостоя);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– проводить несанкционированные горные работы;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– проводить по соседству строительные и другие работы, которые могут способствовать развитию эрозии.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2.5 Объекты местного значения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 xml:space="preserve">Объекты местного значения -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и оказывают существенное влияние на социально-экономическое развитие муниципальных районов, поселений, городских округов. 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К объектам местного значения относятся: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-объекты водоснабжения населения и водоотведения;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-автомобильные дороги местного значения;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-объекты физической культуры и массового спорта, образования, здравоохранения.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Объекты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электр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о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>-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>, и газоснабжения находятся в ведении естественных монополий.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Проектом предусмотрено: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-строительство новых и реконструкция старых объектов образования населения сельсовета;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-организация новых объектов здравоохранения местного значения (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ФАПов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>);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-реконструкция объектов утилизации и переработки бытовых и промышленных отходов.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bookmarkStart w:id="16" w:name="__RefHeading__10884_2125071702"/>
      <w:bookmarkEnd w:id="16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3 ОЦЕНКА ВОЗМОЖНОГО ВЛИЯНИЯ ОБЪЕКТОВ МЕСТНОГО ЗНАЧЕНИЯ МУНИЦИПАЛЬНОГО ОБРАЗОВАНИЯ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проектировании и строительстве водозаборных скважин и очистных сооружений необходимо предусмотреть ЗСО источников водоснабжения и СЗЗ от очистных сооружений.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Охранные зоны объектов водоснабжения устанавливаются в соответствии с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СанПиН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РФ от14 марта 2002 г. №10.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Санитарно-защитные зоны объектов на территории МО установлены в соответствии с </w:t>
      </w:r>
      <w:proofErr w:type="spellStart"/>
      <w:r w:rsidRPr="007C327A">
        <w:rPr>
          <w:rFonts w:ascii="Times New Roman" w:eastAsia="MS Mincho" w:hAnsi="Times New Roman"/>
          <w:sz w:val="24"/>
          <w:szCs w:val="24"/>
          <w:lang w:eastAsia="ar-SA"/>
        </w:rPr>
        <w:t>СанПиН</w:t>
      </w:r>
      <w:proofErr w:type="spellEnd"/>
      <w:r w:rsidRPr="007C327A">
        <w:rPr>
          <w:rFonts w:ascii="Times New Roman" w:eastAsia="MS Mincho" w:hAnsi="Times New Roman"/>
          <w:sz w:val="24"/>
          <w:szCs w:val="24"/>
          <w:lang w:eastAsia="ar-SA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>Очистные сооружения должны соответствовать современным требованиям, СЗЗ должна быть не более 300 м.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В соответствии с п.2.1 </w:t>
      </w:r>
      <w:proofErr w:type="spellStart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СанПиН</w:t>
      </w:r>
      <w:proofErr w:type="spellEnd"/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2.2.1/2.1.1.1200-03* для объектов, являющихся источниками воздействия на среду обитания, разрабатывается проект обоснования размера санитарно-защитной зоны. Ориентировочный размер санитарно-защитной зоны по классификации должен быть обоснован проектом санитарно-защитной с расчетами ожидаемого загрязнения атмосферного воздуха (с учетом фона) и уровней физического воздействия на атмосферный воздух и подтвержден результатами натурных исследований и измерений.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этих проектах предусматриваются конкретные мероприятия, учитывающие специфику предприятия и защиту от его вредных воздействий.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 территории Светлого сельсовета расположены следующие объекты и сооружения, для которых предусматривается организация санитарно-защитных зон и санитарных разрывов.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iCs/>
          <w:sz w:val="24"/>
          <w:szCs w:val="24"/>
          <w:lang w:eastAsia="ar-SA"/>
        </w:rPr>
        <w:t>Таблица 3-1Санитарно-защитные зоны объектов Светлого сельсовета.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9651" w:type="dxa"/>
        <w:tblInd w:w="-40" w:type="dxa"/>
        <w:tblLayout w:type="fixed"/>
        <w:tblLook w:val="0000"/>
      </w:tblPr>
      <w:tblGrid>
        <w:gridCol w:w="675"/>
        <w:gridCol w:w="5705"/>
        <w:gridCol w:w="3271"/>
      </w:tblGrid>
      <w:tr w:rsidR="00C07A86" w:rsidRPr="007C327A" w:rsidTr="00C07A8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proofErr w:type="spell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Наименование объекта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Размер санитарно-защитной зоны, метров</w:t>
            </w:r>
          </w:p>
        </w:tc>
      </w:tr>
      <w:tr w:rsidR="00C07A86" w:rsidRPr="007C327A" w:rsidTr="00C07A86">
        <w:tc>
          <w:tcPr>
            <w:tcW w:w="9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Светлый сельсовет</w:t>
            </w:r>
          </w:p>
        </w:tc>
      </w:tr>
      <w:tr w:rsidR="00C07A86" w:rsidRPr="007C327A" w:rsidTr="00C07A8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Кладбище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500</w:t>
            </w: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shd w:val="clear" w:color="auto" w:fill="FFFF00"/>
          <w:lang w:eastAsia="ar-SA"/>
        </w:rPr>
      </w:pPr>
      <w:bookmarkStart w:id="17" w:name="__RefHeading__10886_2125071702"/>
      <w:bookmarkEnd w:id="17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4 СВЕДЕНИЯ ОБ ОБЪЕКТАХ ФЕДЕРАЛЬНОГО И РЕГИОНАЛЬНОГО ЗНАЧЕНИЯ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00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Схема территориального планирования Оренбургской области (далее - СТП области) была утверждена Постановлением Правительства Оренбургской области № 579-п от 07.07.11г.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СТП области не запланировано строительство объектов регионального значения на территории МО Светлый сельсовет.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shd w:val="clear" w:color="auto" w:fill="FFFF00"/>
          <w:lang w:eastAsia="ar-SA"/>
        </w:rPr>
      </w:pPr>
      <w:bookmarkStart w:id="18" w:name="__RefHeading__10888_2125071702"/>
      <w:bookmarkEnd w:id="18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5 СВЕДЕНИЯ ОБ ОБЪЕКТАХ МЕСТНОГО ЗНАЧЕНИЯ МУНИЦИПАЛЬНОГО РАЙОНА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00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Схема территориального планирования муниципального образования Сакмарский район (далее - СТП района) была утверждена решением Совета депутатов Сакмарского</w:t>
      </w:r>
      <w:r w:rsidRPr="007C327A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 района.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  <w:lang w:eastAsia="ar-SA"/>
        </w:rPr>
        <w:t>5.1 Объекты социальной инфраструктуры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Согласно перечню “переходящих и вновь начинаемых строек и объектов на 2012 и на период до 2014 года” по МО Светлый сельсовет СТП района в Светлом сельсовете запланировано: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pacing w:val="-2"/>
          <w:sz w:val="24"/>
          <w:szCs w:val="24"/>
          <w:lang w:eastAsia="ar-SA"/>
        </w:rPr>
        <w:t>Развитие социальной инфраструктуры предусматривает повышение качества жизни населения, что в свою очередь ведет к стабилизации численности населения и создает условия для ее последующего роста.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shd w:val="clear" w:color="auto" w:fill="FFFFFF"/>
          <w:lang w:eastAsia="ar-SA"/>
        </w:rPr>
        <w:t>5.2 Объекты инженерной инфраструктуры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Газоснабжение сельсовета осуществляется от магистрального газопровода высокого давления через ряд АГРС, </w:t>
      </w:r>
      <w:proofErr w:type="gramStart"/>
      <w:r w:rsidRPr="007C327A">
        <w:rPr>
          <w:rFonts w:ascii="Times New Roman" w:eastAsia="Calibri" w:hAnsi="Times New Roman"/>
          <w:sz w:val="24"/>
          <w:szCs w:val="24"/>
          <w:lang w:eastAsia="ar-SA"/>
        </w:rPr>
        <w:t>расположенных</w:t>
      </w:r>
      <w:proofErr w:type="gramEnd"/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 на территории района.</w:t>
      </w: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bCs/>
          <w:sz w:val="24"/>
          <w:szCs w:val="24"/>
          <w:lang w:eastAsia="ar-SA"/>
        </w:rPr>
        <w:t xml:space="preserve">Протяженность газопроводов составляет всего _____ километра. </w:t>
      </w: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Анализируя, существующее состояние системы газоснабжения </w:t>
      </w:r>
      <w:proofErr w:type="gramStart"/>
      <w:r w:rsidRPr="007C327A">
        <w:rPr>
          <w:rFonts w:ascii="Times New Roman" w:eastAsia="Calibri" w:hAnsi="Times New Roman"/>
          <w:sz w:val="24"/>
          <w:szCs w:val="24"/>
          <w:lang w:eastAsia="ar-SA"/>
        </w:rPr>
        <w:t>П</w:t>
      </w:r>
      <w:proofErr w:type="gramEnd"/>
      <w:r w:rsidRPr="007C327A">
        <w:rPr>
          <w:rFonts w:ascii="Times New Roman" w:eastAsia="Calibri" w:hAnsi="Times New Roman"/>
          <w:sz w:val="24"/>
          <w:szCs w:val="24"/>
          <w:lang w:eastAsia="ar-SA"/>
        </w:rPr>
        <w:t xml:space="preserve"> сельсовета выявлено наличие следующих проблем:</w:t>
      </w: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bCs/>
          <w:iCs/>
          <w:spacing w:val="-2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sz w:val="24"/>
          <w:szCs w:val="24"/>
          <w:lang w:eastAsia="ar-SA"/>
        </w:rPr>
        <w:t>-существующая система закольцована не полностью, что уменьшает надежность газоснабжения потребителей и усложняет проведение ремонтных работ;</w:t>
      </w: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bCs/>
          <w:iCs/>
          <w:spacing w:val="-2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bCs/>
          <w:iCs/>
          <w:spacing w:val="-2"/>
          <w:sz w:val="24"/>
          <w:szCs w:val="24"/>
          <w:lang w:eastAsia="ar-SA"/>
        </w:rPr>
        <w:t>-на территории сельсовета находятся населенные пункты, не подключенные к системе газоснабжения района.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0000FF"/>
          <w:spacing w:val="-2"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shd w:val="clear" w:color="auto" w:fill="FFFFFF"/>
          <w:lang w:eastAsia="ar-SA"/>
        </w:rPr>
        <w:t>5.3 Объекты утилизации и переработки бытовых и промышленных отходов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FF0000"/>
          <w:spacing w:val="-2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Биологическими отходами являются: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трупы животных или птиц, в т.ч. лабораторных;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 абортированные и мертворожденные плоды;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ветеринарные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конфискаты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в хладобойнях, мяс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о-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рыбоперерабатывающих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организациях, рынках, организациях торговли и других объектах.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Основными задачами по профилактике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зооантропонозных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инфекций в МО Светлый сельсовет на 2013 год будут: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-выполнение планов вакцинации населения сельсовета против прививаемых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зооантропонозных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инфекций;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-постоянный контроль состояния скотомогильника и приведение в надлежащее санитарно-техническое состояние;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-приведение санитарно-гигиенических условий на животноводческих предприятиях в соответствие с нормативными требованиями.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shd w:val="clear" w:color="auto" w:fill="FFFFFF"/>
          <w:lang w:eastAsia="ar-SA"/>
        </w:rPr>
      </w:pPr>
      <w:r w:rsidRPr="007C327A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  <w:shd w:val="clear" w:color="auto" w:fill="FFFFFF"/>
          <w:lang w:eastAsia="ar-SA"/>
        </w:rPr>
        <w:t>5.4 Объекты транспортной инфраструктуры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color w:val="0000FF"/>
          <w:spacing w:val="-2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Схемой территориального планирования МО Светлого сельсовета Сакмарского района не запланировано строительство новых объектов транспортной инфраструктуры местного значения.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По данным администраций МО требуется реконструкция и ремонт автомобильных дорог и мостов в каждом населенном пункте Светлого сельсовета.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sz w:val="24"/>
          <w:szCs w:val="24"/>
          <w:lang w:eastAsia="ar-SA"/>
        </w:rPr>
        <w:t>Таблица 5.4-1 Перечень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области, проходящих по территории Светлого сельсовета (согласно приложению к постановлению №267-п).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iCs/>
          <w:sz w:val="24"/>
          <w:szCs w:val="24"/>
          <w:lang w:eastAsia="ar-SA"/>
        </w:rPr>
      </w:pPr>
      <w:bookmarkStart w:id="19" w:name="__RefHeading__10890_2125071702"/>
      <w:bookmarkEnd w:id="19"/>
      <w:r w:rsidRPr="007C327A">
        <w:rPr>
          <w:rFonts w:ascii="Times New Roman" w:hAnsi="Times New Roman"/>
          <w:bCs/>
          <w:i/>
          <w:iCs/>
          <w:sz w:val="24"/>
          <w:szCs w:val="24"/>
          <w:lang w:eastAsia="ar-SA"/>
        </w:rPr>
        <w:t>6 ПЕРЕЧЕНЬ И ХАРАКТЕРИСТИКА ОСНОВНЫХ ФАКТОРОВ РИСКА ВОЗНИКНОВЕНИЯ ЧРЕЗВЫЧАЙНЫХ СИТУАЦИЙ ПРИРОДНОГО И ТЕХНОГЕННОГО ХАРАКТЕРА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Наиболее опасными проявлениями природных процессов для МО Светлый сельсовет являются: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бури (15-31м/с);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пожары природные;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снегопады, превышающие 20 мм за 24 часа;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град с диаметром частиц более 5 мм;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гололед с диаметром отложений более 200 мм;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сильные ветры со скоростью более 32 м/с (ураганы, тайфуны).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Характеристика поражающих факторов указанных природных явлений приведена в таблице: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sz w:val="24"/>
          <w:szCs w:val="24"/>
          <w:lang w:eastAsia="ar-SA"/>
        </w:rPr>
        <w:t>Характеристики поражающих факторов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lang w:eastAsia="ar-SA"/>
        </w:rPr>
        <w:t>Таблица 6-1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99"/>
        <w:gridCol w:w="6411"/>
      </w:tblGrid>
      <w:tr w:rsidR="00C07A86" w:rsidRPr="007C327A" w:rsidTr="00C07A86">
        <w:trPr>
          <w:trHeight w:hRule="exact" w:val="422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Источник ЧС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Характер воздействия поражающего фактора</w:t>
            </w:r>
          </w:p>
        </w:tc>
      </w:tr>
      <w:tr w:rsidR="00C07A86" w:rsidRPr="007C327A" w:rsidTr="00C07A86">
        <w:trPr>
          <w:trHeight w:val="550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Сильный ветер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Ветровая нагрузка, аэродинамическое давление на ограждающие конструкции</w:t>
            </w:r>
          </w:p>
        </w:tc>
      </w:tr>
      <w:tr w:rsidR="00C07A86" w:rsidRPr="007C327A" w:rsidTr="00C07A86">
        <w:trPr>
          <w:trHeight w:val="1005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Экстремальные атмосферные осадки (ливень, метель), наводнения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Затопление территории, подтопление фундаментов, снеговая нагрузка, ветровая нагрузка, снежные заносы</w:t>
            </w:r>
          </w:p>
        </w:tc>
      </w:tr>
      <w:tr w:rsidR="00C07A86" w:rsidRPr="007C327A" w:rsidTr="00C07A86">
        <w:trPr>
          <w:trHeight w:val="365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Град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Ударная динамическая нагрузка</w:t>
            </w:r>
          </w:p>
        </w:tc>
      </w:tr>
      <w:tr w:rsidR="00C07A86" w:rsidRPr="007C327A" w:rsidTr="00C07A86">
        <w:trPr>
          <w:trHeight w:val="312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Гроза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Электрические разряды</w:t>
            </w:r>
          </w:p>
        </w:tc>
      </w:tr>
      <w:tr w:rsidR="00C07A86" w:rsidRPr="007C327A" w:rsidTr="00C07A86">
        <w:trPr>
          <w:trHeight w:val="451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Деформации грунта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Просадка и морозное пучение грунта</w:t>
            </w:r>
          </w:p>
        </w:tc>
      </w:tr>
      <w:tr w:rsidR="00C07A86" w:rsidRPr="007C327A" w:rsidTr="00C07A86">
        <w:trPr>
          <w:trHeight w:val="640"/>
        </w:trPr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Морозы </w:t>
            </w:r>
          </w:p>
        </w:tc>
        <w:tc>
          <w:tcPr>
            <w:tcW w:w="6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Температурная деформация ограждающих конструкций, замораживание и разрыв коммуникаций</w:t>
            </w: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Показатели риска природных чрезвычайных ситуаций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(при наиболее опасном сценарии развития чрезвычайных ситуаций /</w:t>
      </w:r>
      <w:proofErr w:type="gramEnd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при наиболее вероятном сценарии развития чрезвычайных ситуаций)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C327A">
        <w:rPr>
          <w:rFonts w:ascii="Times New Roman" w:hAnsi="Times New Roman"/>
          <w:bCs/>
          <w:i/>
          <w:sz w:val="24"/>
          <w:szCs w:val="24"/>
          <w:lang w:eastAsia="ar-SA"/>
        </w:rPr>
        <w:t>Таблица 6-2</w:t>
      </w: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992"/>
        <w:gridCol w:w="762"/>
        <w:gridCol w:w="798"/>
        <w:gridCol w:w="850"/>
        <w:gridCol w:w="993"/>
        <w:gridCol w:w="992"/>
        <w:gridCol w:w="851"/>
        <w:gridCol w:w="1035"/>
        <w:gridCol w:w="725"/>
      </w:tblGrid>
      <w:tr w:rsidR="00C07A86" w:rsidRPr="007C327A" w:rsidTr="00C07A86">
        <w:trPr>
          <w:cantSplit/>
          <w:trHeight w:val="9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Виды опасных природных явлений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Интенсивность природного 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явления</w:t>
            </w:r>
          </w:p>
        </w:tc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Частота природного 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явления, год </w:t>
            </w:r>
            <w:r w:rsidRPr="007C327A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Частота наступления 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чрезвычайных</w:t>
            </w:r>
            <w:proofErr w:type="gramEnd"/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ситуаций 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при</w:t>
            </w:r>
            <w:proofErr w:type="gramEnd"/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возникновении</w:t>
            </w:r>
            <w:proofErr w:type="gramEnd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природного явления, год</w:t>
            </w:r>
            <w:r w:rsidRPr="007C327A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Размеры зон вероятной 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чрезвычайной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ситуации, км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Возможное количество 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населе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нных</w:t>
            </w:r>
            <w:proofErr w:type="gramEnd"/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пунктов, попадающих в зону  чрезвычайной  ситуации, ед.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Возможная численность населе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ния в зоне ч/с  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нарушением условий </w:t>
            </w:r>
            <w:proofErr w:type="spell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жизнедеятельности,тыс.чел</w:t>
            </w:r>
            <w:proofErr w:type="spellEnd"/>
          </w:p>
        </w:tc>
        <w:tc>
          <w:tcPr>
            <w:tcW w:w="2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Социально-экономические последствия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C07A86" w:rsidRPr="007C327A" w:rsidTr="00C07A86">
        <w:trPr>
          <w:cantSplit/>
          <w:trHeight w:val="1583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Возможное число погибших, чел.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Возможное число пострадавших, чел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Возможный ущерб, </w:t>
            </w:r>
            <w:proofErr w:type="spell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тыс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уб</w:t>
            </w:r>
            <w:proofErr w:type="spellEnd"/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C07A86" w:rsidRPr="007C327A" w:rsidTr="00C07A86">
        <w:trPr>
          <w:cantSplit/>
          <w:trHeight w:val="25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Ураганы, тайфуны, смерчи, м/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Бури, м/</w:t>
            </w:r>
            <w:proofErr w:type="gramStart"/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3.Град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4.Пожары природные,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val="en-US" w:eastAsia="ar-SA"/>
              </w:rPr>
              <w:t>&gt; 32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val="en-US" w:eastAsia="ar-SA"/>
              </w:rPr>
              <w:t>&gt;32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15-31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val="en-US" w:eastAsia="ar-SA"/>
              </w:rPr>
              <w:t>&gt;</w:t>
            </w: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    -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3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0,15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3,3х10</w:t>
            </w:r>
            <w:r w:rsidRPr="007C327A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1,5х10</w:t>
            </w:r>
            <w:r w:rsidRPr="007C327A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-2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1,1х10</w:t>
            </w:r>
            <w:r w:rsidRPr="007C327A">
              <w:rPr>
                <w:rFonts w:ascii="Times New Roman" w:hAnsi="Times New Roman"/>
                <w:sz w:val="24"/>
                <w:szCs w:val="24"/>
                <w:vertAlign w:val="superscript"/>
                <w:lang w:eastAsia="ar-SA"/>
              </w:rPr>
              <w:t>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54   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1         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4.5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2,5  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-   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2    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75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150   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327A">
              <w:rPr>
                <w:rFonts w:ascii="Times New Roman" w:hAnsi="Times New Roman"/>
                <w:sz w:val="24"/>
                <w:szCs w:val="24"/>
                <w:lang w:eastAsia="ar-SA"/>
              </w:rPr>
              <w:t>1,547</w:t>
            </w: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07A86" w:rsidRPr="007C327A" w:rsidRDefault="00C07A86" w:rsidP="007C32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Стихийных бедствий на территории сельсовета в последние десятилетия не наблюдается.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МО Светлый сельсовет не находится в зоне опасных сейсмических воздействий, но нельзя исключать опасность проявления гидрологических явлений (весеннее половодье).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МО Светлый сельсовет, как и весь </w:t>
      </w: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Сакмарский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район характеризуется как </w:t>
      </w:r>
      <w:r w:rsidRPr="007C327A">
        <w:rPr>
          <w:rFonts w:ascii="Times New Roman" w:hAnsi="Times New Roman"/>
          <w:sz w:val="24"/>
          <w:szCs w:val="24"/>
        </w:rPr>
        <w:t xml:space="preserve">район, в основном, благоприятный для градостроительного освоения, </w:t>
      </w:r>
      <w:proofErr w:type="gramStart"/>
      <w:r w:rsidRPr="007C327A">
        <w:rPr>
          <w:rFonts w:ascii="Times New Roman" w:hAnsi="Times New Roman"/>
          <w:sz w:val="24"/>
          <w:szCs w:val="24"/>
        </w:rPr>
        <w:t>за</w:t>
      </w:r>
      <w:proofErr w:type="gramEnd"/>
      <w:r w:rsidRPr="007C327A">
        <w:rPr>
          <w:rFonts w:ascii="Times New Roman" w:hAnsi="Times New Roman"/>
          <w:sz w:val="24"/>
          <w:szCs w:val="24"/>
        </w:rPr>
        <w:t xml:space="preserve"> исключениям территорий подверженных развитию экзогенно-геологических процессов: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7C327A">
        <w:rPr>
          <w:rFonts w:ascii="Times New Roman" w:hAnsi="Times New Roman"/>
          <w:i/>
          <w:sz w:val="24"/>
          <w:szCs w:val="24"/>
          <w:lang w:eastAsia="ar-SA"/>
        </w:rPr>
        <w:t>Овражная эрозия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eastAsia="Calibri" w:hAnsi="Times New Roman"/>
          <w:iCs/>
          <w:spacing w:val="-5"/>
          <w:sz w:val="24"/>
          <w:szCs w:val="24"/>
          <w:lang w:eastAsia="ar-SA"/>
        </w:rPr>
        <w:t>Овражная эрозия</w:t>
      </w:r>
      <w:r w:rsidRPr="007C327A">
        <w:rPr>
          <w:rFonts w:ascii="Times New Roman" w:eastAsia="Calibri" w:hAnsi="Times New Roman"/>
          <w:spacing w:val="-5"/>
          <w:sz w:val="24"/>
          <w:szCs w:val="24"/>
          <w:lang w:eastAsia="ar-SA"/>
        </w:rPr>
        <w:t xml:space="preserve"> способствует иссушению земель, выносу рыхлого материала и заиливанию водохранилищ, разрушает дорожную сеть и другие объекты. </w:t>
      </w:r>
      <w:r w:rsidRPr="007C327A">
        <w:rPr>
          <w:rFonts w:ascii="Times New Roman" w:hAnsi="Times New Roman"/>
          <w:sz w:val="24"/>
          <w:szCs w:val="24"/>
        </w:rPr>
        <w:t xml:space="preserve">Причины активизации овражной эрозии связаны со строительством автодороги, которая способствовала переводу плоскостного поверхностного стока в </w:t>
      </w:r>
      <w:proofErr w:type="gramStart"/>
      <w:r w:rsidRPr="007C327A">
        <w:rPr>
          <w:rFonts w:ascii="Times New Roman" w:hAnsi="Times New Roman"/>
          <w:sz w:val="24"/>
          <w:szCs w:val="24"/>
        </w:rPr>
        <w:t>концентрированный</w:t>
      </w:r>
      <w:proofErr w:type="gramEnd"/>
      <w:r w:rsidRPr="007C327A">
        <w:rPr>
          <w:rFonts w:ascii="Times New Roman" w:hAnsi="Times New Roman"/>
          <w:sz w:val="24"/>
          <w:szCs w:val="24"/>
        </w:rPr>
        <w:t xml:space="preserve"> линейный.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sz w:val="24"/>
          <w:szCs w:val="24"/>
          <w:lang w:eastAsia="ar-SA"/>
        </w:rPr>
        <w:t>- Боковая эрозия</w:t>
      </w:r>
    </w:p>
    <w:p w:rsidR="00C07A86" w:rsidRPr="007C327A" w:rsidRDefault="00C07A86" w:rsidP="007C327A">
      <w:pPr>
        <w:pStyle w:val="a6"/>
        <w:jc w:val="both"/>
        <w:rPr>
          <w:rFonts w:ascii="Times New Roman" w:eastAsia="Calibri" w:hAnsi="Times New Roman"/>
          <w:spacing w:val="-5"/>
          <w:sz w:val="24"/>
          <w:szCs w:val="24"/>
          <w:lang w:eastAsia="ar-SA"/>
        </w:rPr>
      </w:pPr>
      <w:r w:rsidRPr="007C327A">
        <w:rPr>
          <w:rFonts w:ascii="Times New Roman" w:eastAsia="Calibri" w:hAnsi="Times New Roman"/>
          <w:iCs/>
          <w:spacing w:val="-5"/>
          <w:sz w:val="24"/>
          <w:szCs w:val="24"/>
          <w:lang w:eastAsia="ar-SA"/>
        </w:rPr>
        <w:t>Боковая эрозия</w:t>
      </w:r>
      <w:r w:rsidRPr="007C327A">
        <w:rPr>
          <w:rFonts w:ascii="Times New Roman" w:eastAsia="Calibri" w:hAnsi="Times New Roman"/>
          <w:spacing w:val="-5"/>
          <w:sz w:val="24"/>
          <w:szCs w:val="24"/>
          <w:lang w:eastAsia="ar-SA"/>
        </w:rPr>
        <w:t xml:space="preserve"> и сопровождающие ее гравитационные процессы приводят к уничтожению либо к значительному сокращению площади террас – естественных площадок, наиболее благоприятных для градостроительного освоения. На многих участках они уже заняты населенными пунктами, сельскохозяйственными и промышленными объектами.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20" w:name="_GoBack"/>
      <w:bookmarkEnd w:id="20"/>
      <w:r w:rsidRPr="007C327A">
        <w:rPr>
          <w:rFonts w:ascii="Times New Roman" w:hAnsi="Times New Roman"/>
          <w:sz w:val="24"/>
          <w:szCs w:val="24"/>
          <w:lang w:eastAsia="ar-SA"/>
        </w:rPr>
        <w:t>Чрезвычайные ситуации техногенного характера для МО Светлый сельсовет представляют пожары и взрывы, возможные на пожароопасных, взрывопожароопасных объектах жизнеобеспечения, в энергетике, на промышленных предприятиях.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Отсутствие организованных санитарно-защитных зон (СЗЗ) от промышленных объектов усиливает потенциальную угрозу воздействия чрезвычайных факторов на население.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u w:val="single"/>
          <w:lang w:eastAsia="ar-SA"/>
        </w:rPr>
        <w:t xml:space="preserve">Потенциальная угроза аварий на транспорте определяется следующим: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>на газопроводах – высокой степенью износа линейной части, длительными сроками эксплуатации насосного парка, резервуаров и электрооборудования, строительным браком;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неблагоприятными погодными условиями.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Потенциально-опасные участки газопроводов: пересечение через железную дорогу и автодороги, открытые участки в долах, газораспределительные пункты (ГРП).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Опасная зона для ГРП составляет 150 м. Охранная зона газопровода – 25 м от трубопровода.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u w:val="single"/>
          <w:lang w:eastAsia="ar-SA"/>
        </w:rPr>
        <w:t>Краткая оценка возможной обстановки на территории МО при образовании свища или разлива на газопроводе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без возгорания в зависимости от метеоусловий и места аварии возможно перемещение природного газа в сторону населенных пунктов (малоопасное вредное вещество, плотность продукта 0,7117, легче воздуха, предел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взрываемости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5-15%). Действует </w:t>
      </w:r>
      <w:proofErr w:type="spellStart"/>
      <w:r w:rsidRPr="007C327A">
        <w:rPr>
          <w:rFonts w:ascii="Times New Roman" w:hAnsi="Times New Roman"/>
          <w:sz w:val="24"/>
          <w:szCs w:val="24"/>
          <w:lang w:eastAsia="ar-SA"/>
        </w:rPr>
        <w:t>удушающе</w:t>
      </w:r>
      <w:proofErr w:type="spell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при 14% при содержании в замкнутом объеме и снижении концентрации кислорода в воздухе, что потребует, при соблюдении мер безопасности, эвакуации населения и ликвидации очага ЧС.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образовании разрыва на газопроводе с возгоранием возможно возникновение пожаров.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i/>
          <w:sz w:val="24"/>
          <w:szCs w:val="24"/>
          <w:lang w:eastAsia="ar-SA"/>
        </w:rPr>
        <w:t>Мероприятия: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При аварии на газопроводах и продуктопроводах (разрыв газопровода без возгорания) выставить посты, запретить проезд техники по ближайшим дорогам, принять меры по остановке и выключению двигателей транспортных средств, удалению людей и животных на 300 метров от оси газопровода с подветренной стороны.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При разрыве газопровода,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u w:val="single"/>
          <w:lang w:eastAsia="ar-SA"/>
        </w:rPr>
        <w:t>Аварии на коммунальных системах жизнеобеспечения: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аварии в системах водоснабжения населения питьевой водой приводят к недопустимому повышению загрязняющих веществ, что приводит к дефициту подаваемой воды (особенно в летний период), а также может привести к отключению водоснабжения  - до 2-х суток;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в холодное время года аварии на тепловых сетях могут привести к отключению подачи тепла в домах продолжительностью до 3 суток;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аварии на энергетических сетях могут привести к отключению подачи электроэнергии потребителям на срок до 3 суток.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 К особенно тяжелым последствиям приводят аварии в зимнее время года. Обрыв воздушных линий электропередач (при гололеде, налипании мокрого снега, урагане) может привести к обрыву воздушных линий электропередач и обесточиванию потребителей сроком до 5 суток.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 xml:space="preserve">С целью обеспечения экологической </w:t>
      </w:r>
      <w:r w:rsidRPr="007C327A">
        <w:rPr>
          <w:rFonts w:ascii="Times New Roman" w:hAnsi="Times New Roman"/>
          <w:color w:val="000000"/>
          <w:sz w:val="24"/>
          <w:szCs w:val="24"/>
          <w:lang w:eastAsia="ar-SA"/>
        </w:rPr>
        <w:t>безопасности поселковой</w:t>
      </w:r>
      <w:r w:rsidRPr="007C327A">
        <w:rPr>
          <w:rFonts w:ascii="Times New Roman" w:hAnsi="Times New Roman"/>
          <w:sz w:val="24"/>
          <w:szCs w:val="24"/>
          <w:lang w:eastAsia="ar-SA"/>
        </w:rPr>
        <w:t xml:space="preserve"> среды и </w:t>
      </w: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создания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благоприятных санитарно – эпидемиологических условий проживания, в генеральном плане Сакмарского сельсовета определены зоны как природного, так и техногенного происхождения, для которых должны быть разработаны особые регламенты по их функциональному использованию.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u w:val="single"/>
          <w:lang w:eastAsia="ar-SA"/>
        </w:rPr>
        <w:t>Пожарная безопасность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7C327A">
        <w:rPr>
          <w:rFonts w:ascii="Times New Roman" w:hAnsi="Times New Roman"/>
          <w:sz w:val="24"/>
          <w:szCs w:val="24"/>
          <w:lang w:eastAsia="ar-SA"/>
        </w:rPr>
        <w:t>Согласно</w:t>
      </w:r>
      <w:proofErr w:type="gramEnd"/>
      <w:r w:rsidRPr="007C327A">
        <w:rPr>
          <w:rFonts w:ascii="Times New Roman" w:hAnsi="Times New Roman"/>
          <w:sz w:val="24"/>
          <w:szCs w:val="24"/>
          <w:lang w:eastAsia="ar-SA"/>
        </w:rPr>
        <w:t xml:space="preserve"> региональных нормативов градостроительного проектирования Оренбургской области, рекомендуемый показатель пожарных автомобилей на 1000 жителей – 0,4 машины.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Дислокация подразделений пожарной охраны определяется исходя из условия, что время прибытия первого подразделения к месту вызова в сельских поселениях - 20 минут. (Технический регламент о требованиях пожарной безопасности № 1223-ФЗ). Таким образом, время прибытия пожарного подразделения в населенные пункты МО Светлый сельсовет  не превышает нормативное. Следовательно, МО обеспечено пожарными машинами. 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  <w:lang w:eastAsia="ar-SA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t>Сведений о перспективном строительстве защитных сооружений гражданской обороны на территории МО Светлый сельсовет нет, реконструкция ЗС ГО не ведется. По существующим требованиям все производственные здания и многоквартирные жилые дома должны строиться с подвальными помещениями, которые при необходимости используются как защитные сооружения ГО.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i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  <w:lang w:eastAsia="ar-SA"/>
        </w:rPr>
        <w:br w:type="page"/>
      </w:r>
      <w:bookmarkStart w:id="21" w:name="_Toc363468515"/>
      <w:r w:rsidRPr="007C327A">
        <w:rPr>
          <w:rFonts w:ascii="Times New Roman" w:hAnsi="Times New Roman"/>
          <w:i/>
          <w:sz w:val="24"/>
          <w:szCs w:val="24"/>
        </w:rPr>
        <w:lastRenderedPageBreak/>
        <w:t>7 ПЕРЕЧЕНЬ ЗЕМЕЛЬНЫХ УЧАСТКОВ</w:t>
      </w:r>
      <w:bookmarkEnd w:id="21"/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Земельные участки, включаемые в земли населенных пунктов, принять согласно данным Федерального Земельного Кадастра с учетом проектных границ населенных пунктов.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sz w:val="24"/>
          <w:szCs w:val="24"/>
        </w:rPr>
        <w:t>Земельные участки, исключаемые из земель населенных пунктов, принять согласно данным Федерального Земельного Кадастра с учетом проектных границ населенных пунктов.</w:t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1" name="Рисунок 1" descr="C:\Documents and Settings\admin\Local Settings\Temp\Rar$DI00.078\Орловка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00.078\Орловка се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86" w:rsidRPr="007C327A" w:rsidRDefault="00C07A86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7C327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2" name="Рисунок 2" descr="C:\Documents and Settings\admin\Local Settings\Temp\Rar$DI06.437\Орловка современного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06.437\Орловка современного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Pr="007C327A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12611" w:rsidRDefault="00C12611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0378F" w:rsidRDefault="00E0378F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0378F" w:rsidRDefault="00FD231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3" name="Рисунок 1" descr="C:\Documents and Settings\admin\Local Settings\Temp\Rar$DI00.250\Орловка функциональное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00.250\Орловка функциональное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F43B3" w:rsidRDefault="005F43B3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1317"/>
            <wp:effectExtent l="19050" t="0" r="3175" b="0"/>
            <wp:docPr id="4" name="Рисунок 2" descr="C:\Documents and Settings\admin\Local Settings\Temp\Rar$DI04.625\Первенец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04.625\Первенец се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8F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5" name="Рисунок 3" descr="C:\Documents and Settings\admin\Local Settings\Temp\Rar$DI08.281\Первенец современного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08.281\Первенец современного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AD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A6AAD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A6AAD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A6AAD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A6AAD" w:rsidRDefault="00AA4B6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6" name="Рисунок 4" descr="C:\Documents and Settings\admin\Local Settings\Temp\Rar$DI11.000\Первенец функциональные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11.000\Первенец функциональные зо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6A" w:rsidRDefault="00AA4B6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AA4B6A" w:rsidRDefault="00AA4B6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AA4B6A" w:rsidRDefault="00AA4B6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AA4B6A" w:rsidRDefault="00AA4B6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AA4B6A" w:rsidRDefault="00AA4B6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7" name="Рисунок 5" descr="C:\Documents and Settings\admin\Local Settings\Temp\Rar$DI14.750\Светлый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14.750\Светлый се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78" w:rsidRDefault="001F107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F1078" w:rsidRDefault="001F107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F1078" w:rsidRDefault="001F107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F1078" w:rsidRDefault="001F1078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F1078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8" name="Рисунок 6" descr="C:\Documents and Settings\admin\Local Settings\Temp\Rar$DI19.344\Светлый современныое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19.344\Светлый современныое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9" name="Рисунок 7" descr="C:\Documents and Settings\admin\Local Settings\Temp\Rar$DI22.469\Светлый сс сущ с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22.469\Светлый сс сущ со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1317"/>
            <wp:effectExtent l="19050" t="0" r="3175" b="0"/>
            <wp:docPr id="10" name="Рисунок 8" descr="C:\Documents and Settings\admin\Local Settings\Temp\Rar$DI24.453\Светлый сс функциональное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Rar$DI24.453\Светлый сс функциональное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9D22C4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D22C4" w:rsidRDefault="007A559B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1317"/>
            <wp:effectExtent l="19050" t="0" r="3175" b="0"/>
            <wp:docPr id="11" name="Рисунок 9" descr="C:\Documents and Settings\admin\Local Settings\Temp\Rar$DI27.406\Светлый функциональные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27.406\Светлый функциональные зо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9B" w:rsidRDefault="007A559B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A559B" w:rsidRDefault="007A559B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A559B" w:rsidRDefault="007A559B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A559B" w:rsidRDefault="007A559B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A559B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1317"/>
            <wp:effectExtent l="19050" t="0" r="3175" b="0"/>
            <wp:docPr id="12" name="Рисунок 10" descr="C:\Documents and Settings\admin\Local Settings\Temp\Rar$DI33.953\Северный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33.953\Северный сет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1317"/>
            <wp:effectExtent l="19050" t="0" r="3175" b="0"/>
            <wp:docPr id="13" name="Рисунок 11" descr="C:\Documents and Settings\admin\Local Settings\Temp\Rar$DI36.187\Северный современное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\Rar$DI36.187\Северный современное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1317"/>
            <wp:effectExtent l="19050" t="0" r="3175" b="0"/>
            <wp:docPr id="15" name="Рисунок 13" descr="C:\Documents and Settings\admin\Local Settings\Temp\Rar$DI46.844\Северный функциональные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\Rar$DI46.844\Северный функциональные зо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9A" w:rsidRDefault="00FF679A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A6AAD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A6AAD" w:rsidRPr="007C327A" w:rsidRDefault="003A6AAD" w:rsidP="007C327A">
      <w:pPr>
        <w:pStyle w:val="a6"/>
        <w:jc w:val="both"/>
        <w:rPr>
          <w:rFonts w:ascii="Times New Roman" w:hAnsi="Times New Roman"/>
          <w:sz w:val="24"/>
          <w:szCs w:val="24"/>
        </w:rPr>
      </w:pPr>
    </w:p>
    <w:sectPr w:rsidR="003A6AAD" w:rsidRPr="007C327A" w:rsidSect="00177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94C7D6E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Symbol" w:hAnsi="Symbol" w:cs="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Symbol" w:hAnsi="Symbol" w:cs="Symbo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Symbol" w:hAnsi="Symbol" w:cs="Symbo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Symbol" w:hAnsi="Symbol" w:cs="Symbo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Symbol" w:hAnsi="Symbol" w:cs="Symbo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Symbol" w:hAnsi="Symbol" w:cs="Symbol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Courier New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0000009"/>
    <w:multiLevelType w:val="single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Times New Roman"/>
      </w:rPr>
    </w:lvl>
  </w:abstractNum>
  <w:abstractNum w:abstractNumId="8">
    <w:nsid w:val="0000000A"/>
    <w:multiLevelType w:val="single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Times New Roman"/>
      </w:rPr>
    </w:lvl>
  </w:abstractNum>
  <w:abstractNum w:abstractNumId="9">
    <w:nsid w:val="00BE3229"/>
    <w:multiLevelType w:val="hybridMultilevel"/>
    <w:tmpl w:val="AB6E29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15B29C4"/>
    <w:multiLevelType w:val="hybridMultilevel"/>
    <w:tmpl w:val="09A680D8"/>
    <w:lvl w:ilvl="0" w:tplc="00000014">
      <w:numFmt w:val="bullet"/>
      <w:lvlText w:val="−"/>
      <w:lvlJc w:val="left"/>
      <w:pPr>
        <w:ind w:left="1429" w:hanging="360"/>
      </w:pPr>
      <w:rPr>
        <w:rFonts w:ascii="Courier New" w:hAnsi="Courier New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1930250"/>
    <w:multiLevelType w:val="hybridMultilevel"/>
    <w:tmpl w:val="D27686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3C55B82"/>
    <w:multiLevelType w:val="hybridMultilevel"/>
    <w:tmpl w:val="5F189B7C"/>
    <w:lvl w:ilvl="0" w:tplc="61A2E2B2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90" w:hanging="180"/>
      </w:pPr>
      <w:rPr>
        <w:rFonts w:cs="Times New Roman"/>
      </w:rPr>
    </w:lvl>
  </w:abstractNum>
  <w:abstractNum w:abstractNumId="13">
    <w:nsid w:val="06E828E0"/>
    <w:multiLevelType w:val="hybridMultilevel"/>
    <w:tmpl w:val="E0083982"/>
    <w:lvl w:ilvl="0" w:tplc="8E7CD4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B98C8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EA02E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63697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6167F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01A1D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BAE5F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21EBE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9A6C0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07BA23A4"/>
    <w:multiLevelType w:val="hybridMultilevel"/>
    <w:tmpl w:val="808861A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8C52D15"/>
    <w:multiLevelType w:val="hybridMultilevel"/>
    <w:tmpl w:val="76F03596"/>
    <w:lvl w:ilvl="0" w:tplc="FFFFFFFF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6">
    <w:nsid w:val="095C478C"/>
    <w:multiLevelType w:val="hybridMultilevel"/>
    <w:tmpl w:val="1DCA3C90"/>
    <w:lvl w:ilvl="0" w:tplc="09E024E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EF46B0B"/>
    <w:multiLevelType w:val="hybridMultilevel"/>
    <w:tmpl w:val="A304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6E0883"/>
    <w:multiLevelType w:val="hybridMultilevel"/>
    <w:tmpl w:val="03E480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B0F38F6"/>
    <w:multiLevelType w:val="hybridMultilevel"/>
    <w:tmpl w:val="464435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F121A94"/>
    <w:multiLevelType w:val="hybridMultilevel"/>
    <w:tmpl w:val="8C1223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F703E8B"/>
    <w:multiLevelType w:val="hybridMultilevel"/>
    <w:tmpl w:val="11CE90B0"/>
    <w:lvl w:ilvl="0" w:tplc="FFFFFFFF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21393767"/>
    <w:multiLevelType w:val="hybridMultilevel"/>
    <w:tmpl w:val="54E0A6B6"/>
    <w:lvl w:ilvl="0" w:tplc="65F8484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2833B21"/>
    <w:multiLevelType w:val="hybridMultilevel"/>
    <w:tmpl w:val="39B6605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27D6034B"/>
    <w:multiLevelType w:val="hybridMultilevel"/>
    <w:tmpl w:val="28745B1E"/>
    <w:lvl w:ilvl="0" w:tplc="1C30A21E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 w:tplc="EA94CD1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2047FB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0867C2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F36749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B86543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6B047A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0921F7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C5AACC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B17596F"/>
    <w:multiLevelType w:val="hybridMultilevel"/>
    <w:tmpl w:val="7DC68956"/>
    <w:lvl w:ilvl="0" w:tplc="FFFFFFFF">
      <w:start w:val="1"/>
      <w:numFmt w:val="bullet"/>
      <w:lvlText w:val=""/>
      <w:lvlJc w:val="left"/>
      <w:pPr>
        <w:ind w:left="7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6">
    <w:nsid w:val="2B3846B7"/>
    <w:multiLevelType w:val="hybridMultilevel"/>
    <w:tmpl w:val="0590D0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BBF7811"/>
    <w:multiLevelType w:val="hybridMultilevel"/>
    <w:tmpl w:val="D1067A84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CCC3AAA"/>
    <w:multiLevelType w:val="hybridMultilevel"/>
    <w:tmpl w:val="C9A2E68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2FAC08E3"/>
    <w:multiLevelType w:val="hybridMultilevel"/>
    <w:tmpl w:val="1CB84138"/>
    <w:lvl w:ilvl="0" w:tplc="00000014">
      <w:numFmt w:val="bullet"/>
      <w:lvlText w:val="−"/>
      <w:lvlJc w:val="left"/>
      <w:pPr>
        <w:ind w:left="1429" w:hanging="360"/>
      </w:pPr>
      <w:rPr>
        <w:rFonts w:ascii="Courier New" w:hAnsi="Courier New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0A01A9F"/>
    <w:multiLevelType w:val="hybridMultilevel"/>
    <w:tmpl w:val="DBB42CB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37D0433"/>
    <w:multiLevelType w:val="multilevel"/>
    <w:tmpl w:val="B3EE2FB0"/>
    <w:lvl w:ilvl="0">
      <w:start w:val="1"/>
      <w:numFmt w:val="bullet"/>
      <w:pStyle w:val="10"/>
      <w:lvlText w:val=""/>
      <w:lvlJc w:val="left"/>
      <w:pPr>
        <w:tabs>
          <w:tab w:val="num" w:pos="1427"/>
        </w:tabs>
        <w:ind w:left="1427" w:hanging="576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9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2">
    <w:nsid w:val="33B265E8"/>
    <w:multiLevelType w:val="hybridMultilevel"/>
    <w:tmpl w:val="F84866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CYR" w:eastAsia="Times New Roman" w:hAnsi="Times New Roman CYR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38A67A4F"/>
    <w:multiLevelType w:val="hybridMultilevel"/>
    <w:tmpl w:val="617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11334C"/>
    <w:multiLevelType w:val="hybridMultilevel"/>
    <w:tmpl w:val="66206DBE"/>
    <w:lvl w:ilvl="0" w:tplc="9C3E767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A960F98"/>
    <w:multiLevelType w:val="hybridMultilevel"/>
    <w:tmpl w:val="BEDC99DC"/>
    <w:lvl w:ilvl="0" w:tplc="612AE8E6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4E0B4634"/>
    <w:multiLevelType w:val="multilevel"/>
    <w:tmpl w:val="D8D4E0E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558102E9"/>
    <w:multiLevelType w:val="hybridMultilevel"/>
    <w:tmpl w:val="A1ACD2F2"/>
    <w:lvl w:ilvl="0" w:tplc="00000014">
      <w:numFmt w:val="bullet"/>
      <w:lvlText w:val="−"/>
      <w:lvlJc w:val="left"/>
      <w:pPr>
        <w:ind w:left="1429" w:hanging="360"/>
      </w:pPr>
      <w:rPr>
        <w:rFonts w:ascii="Courier New" w:hAnsi="Courier New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BF63E48"/>
    <w:multiLevelType w:val="hybridMultilevel"/>
    <w:tmpl w:val="13E48184"/>
    <w:lvl w:ilvl="0" w:tplc="FFFFFFFF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39">
    <w:nsid w:val="63994276"/>
    <w:multiLevelType w:val="hybridMultilevel"/>
    <w:tmpl w:val="F84866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 CYR" w:eastAsia="Times New Roman" w:hAnsi="Times New Roman CYR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ACF1751"/>
    <w:multiLevelType w:val="hybridMultilevel"/>
    <w:tmpl w:val="D8D4E0E2"/>
    <w:lvl w:ilvl="0" w:tplc="AF0E5B2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3"/>
  </w:num>
  <w:num w:numId="2">
    <w:abstractNumId w:val="13"/>
  </w:num>
  <w:num w:numId="3">
    <w:abstractNumId w:val="24"/>
  </w:num>
  <w:num w:numId="4">
    <w:abstractNumId w:val="0"/>
  </w:num>
  <w:num w:numId="5">
    <w:abstractNumId w:val="31"/>
    <w:lvlOverride w:ilvl="0"/>
    <w:lvlOverride w:ilvl="1">
      <w:startOverride w:val="1"/>
    </w:lvlOverride>
    <w:lvlOverride w:ilvl="2">
      <w:startOverride w:val="3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8"/>
  </w:num>
  <w:num w:numId="8">
    <w:abstractNumId w:val="15"/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7"/>
  </w:num>
  <w:num w:numId="17">
    <w:abstractNumId w:val="16"/>
  </w:num>
  <w:num w:numId="18">
    <w:abstractNumId w:val="26"/>
  </w:num>
  <w:num w:numId="19">
    <w:abstractNumId w:val="34"/>
  </w:num>
  <w:num w:numId="20">
    <w:abstractNumId w:val="35"/>
  </w:num>
  <w:num w:numId="21">
    <w:abstractNumId w:val="11"/>
  </w:num>
  <w:num w:numId="22">
    <w:abstractNumId w:val="21"/>
  </w:num>
  <w:num w:numId="23">
    <w:abstractNumId w:val="22"/>
  </w:num>
  <w:num w:numId="24">
    <w:abstractNumId w:val="20"/>
  </w:num>
  <w:num w:numId="25">
    <w:abstractNumId w:val="37"/>
  </w:num>
  <w:num w:numId="26">
    <w:abstractNumId w:val="29"/>
  </w:num>
  <w:num w:numId="27">
    <w:abstractNumId w:val="10"/>
  </w:num>
  <w:num w:numId="28">
    <w:abstractNumId w:val="23"/>
  </w:num>
  <w:num w:numId="29">
    <w:abstractNumId w:val="12"/>
  </w:num>
  <w:num w:numId="30">
    <w:abstractNumId w:val="40"/>
  </w:num>
  <w:num w:numId="31">
    <w:abstractNumId w:val="14"/>
  </w:num>
  <w:num w:numId="32">
    <w:abstractNumId w:val="18"/>
  </w:num>
  <w:num w:numId="33">
    <w:abstractNumId w:val="28"/>
  </w:num>
  <w:num w:numId="34">
    <w:abstractNumId w:val="36"/>
  </w:num>
  <w:num w:numId="35">
    <w:abstractNumId w:val="2"/>
  </w:num>
  <w:num w:numId="36">
    <w:abstractNumId w:val="3"/>
  </w:num>
  <w:num w:numId="37">
    <w:abstractNumId w:val="4"/>
  </w:num>
  <w:num w:numId="38">
    <w:abstractNumId w:val="5"/>
  </w:num>
  <w:num w:numId="39">
    <w:abstractNumId w:val="6"/>
  </w:num>
  <w:num w:numId="40">
    <w:abstractNumId w:val="7"/>
  </w:num>
  <w:num w:numId="41">
    <w:abstractNumId w:val="8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781"/>
    <w:rsid w:val="000F3EC9"/>
    <w:rsid w:val="00177912"/>
    <w:rsid w:val="00187EAB"/>
    <w:rsid w:val="001F1078"/>
    <w:rsid w:val="002271BD"/>
    <w:rsid w:val="00277FB5"/>
    <w:rsid w:val="002C5653"/>
    <w:rsid w:val="003A1E18"/>
    <w:rsid w:val="003A6AAD"/>
    <w:rsid w:val="00450781"/>
    <w:rsid w:val="004E7768"/>
    <w:rsid w:val="004F0C8B"/>
    <w:rsid w:val="005F43B3"/>
    <w:rsid w:val="007A559B"/>
    <w:rsid w:val="007C327A"/>
    <w:rsid w:val="008F071D"/>
    <w:rsid w:val="009D22C4"/>
    <w:rsid w:val="00AA4B6A"/>
    <w:rsid w:val="00B60F85"/>
    <w:rsid w:val="00BE4438"/>
    <w:rsid w:val="00C07A86"/>
    <w:rsid w:val="00C12611"/>
    <w:rsid w:val="00DD49BA"/>
    <w:rsid w:val="00E0378F"/>
    <w:rsid w:val="00EB6931"/>
    <w:rsid w:val="00FD231D"/>
    <w:rsid w:val="00FF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7912"/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C07A86"/>
    <w:pPr>
      <w:keepNext/>
      <w:keepLines/>
      <w:numPr>
        <w:numId w:val="3"/>
      </w:numPr>
      <w:spacing w:before="480" w:after="0" w:line="312" w:lineRule="auto"/>
      <w:jc w:val="both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C07A8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07A8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1"/>
    <w:link w:val="40"/>
    <w:qFormat/>
    <w:rsid w:val="00C07A86"/>
    <w:pPr>
      <w:keepNext/>
      <w:suppressAutoHyphens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kern w:val="1"/>
      <w:sz w:val="28"/>
      <w:szCs w:val="28"/>
      <w:lang w:eastAsia="hi-IN" w:bidi="hi-IN"/>
    </w:rPr>
  </w:style>
  <w:style w:type="paragraph" w:styleId="5">
    <w:name w:val="heading 5"/>
    <w:basedOn w:val="a0"/>
    <w:next w:val="a1"/>
    <w:link w:val="50"/>
    <w:qFormat/>
    <w:rsid w:val="00C07A86"/>
    <w:pPr>
      <w:keepNext/>
      <w:suppressAutoHyphens/>
      <w:spacing w:after="0" w:line="100" w:lineRule="atLeast"/>
      <w:ind w:left="3916" w:hanging="1080"/>
      <w:outlineLvl w:val="4"/>
    </w:pPr>
    <w:rPr>
      <w:rFonts w:ascii="Calibri" w:eastAsia="Times New Roman" w:hAnsi="Calibri" w:cs="Calibri"/>
      <w:b/>
      <w:bCs/>
      <w:kern w:val="1"/>
      <w:sz w:val="28"/>
      <w:szCs w:val="28"/>
      <w:lang w:eastAsia="hi-IN" w:bidi="hi-IN"/>
    </w:rPr>
  </w:style>
  <w:style w:type="paragraph" w:styleId="6">
    <w:name w:val="heading 6"/>
    <w:basedOn w:val="a0"/>
    <w:next w:val="a0"/>
    <w:link w:val="60"/>
    <w:qFormat/>
    <w:rsid w:val="00C07A86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0"/>
    <w:next w:val="a0"/>
    <w:link w:val="70"/>
    <w:qFormat/>
    <w:rsid w:val="00C07A86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0"/>
    <w:next w:val="a0"/>
    <w:link w:val="80"/>
    <w:qFormat/>
    <w:rsid w:val="00C07A86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2"/>
    <w:link w:val="1"/>
    <w:rsid w:val="00C07A86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2"/>
    <w:link w:val="2"/>
    <w:rsid w:val="00C07A8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rsid w:val="00C07A86"/>
    <w:rPr>
      <w:rFonts w:ascii="Cambria" w:eastAsia="Times New Roman" w:hAnsi="Cambria" w:cs="Times New Roman"/>
      <w:b/>
      <w:bCs/>
      <w:sz w:val="26"/>
      <w:szCs w:val="26"/>
    </w:rPr>
  </w:style>
  <w:style w:type="paragraph" w:styleId="a1">
    <w:name w:val="Body Text"/>
    <w:aliases w:val="Знак1 Знак,text,Body Text2"/>
    <w:basedOn w:val="a0"/>
    <w:link w:val="a5"/>
    <w:rsid w:val="00C07A86"/>
    <w:pPr>
      <w:spacing w:after="120"/>
    </w:pPr>
    <w:rPr>
      <w:rFonts w:ascii="Calibri" w:eastAsia="Times New Roman" w:hAnsi="Calibri" w:cs="Calibri"/>
    </w:rPr>
  </w:style>
  <w:style w:type="character" w:customStyle="1" w:styleId="a5">
    <w:name w:val="Основной текст Знак"/>
    <w:aliases w:val="Знак1 Знак Знак,text Знак,Body Text2 Знак"/>
    <w:basedOn w:val="a2"/>
    <w:link w:val="a1"/>
    <w:rsid w:val="00C07A86"/>
    <w:rPr>
      <w:rFonts w:ascii="Calibri" w:eastAsia="Times New Roman" w:hAnsi="Calibri" w:cs="Calibri"/>
    </w:rPr>
  </w:style>
  <w:style w:type="character" w:customStyle="1" w:styleId="40">
    <w:name w:val="Заголовок 4 Знак"/>
    <w:basedOn w:val="a2"/>
    <w:link w:val="4"/>
    <w:rsid w:val="00C07A86"/>
    <w:rPr>
      <w:rFonts w:ascii="Calibri" w:eastAsia="Times New Roman" w:hAnsi="Calibri" w:cs="Times New Roman"/>
      <w:b/>
      <w:bCs/>
      <w:kern w:val="1"/>
      <w:sz w:val="28"/>
      <w:szCs w:val="28"/>
      <w:lang w:eastAsia="hi-IN" w:bidi="hi-IN"/>
    </w:rPr>
  </w:style>
  <w:style w:type="character" w:customStyle="1" w:styleId="50">
    <w:name w:val="Заголовок 5 Знак"/>
    <w:basedOn w:val="a2"/>
    <w:link w:val="5"/>
    <w:rsid w:val="00C07A86"/>
    <w:rPr>
      <w:rFonts w:ascii="Calibri" w:eastAsia="Times New Roman" w:hAnsi="Calibri" w:cs="Calibri"/>
      <w:b/>
      <w:bCs/>
      <w:kern w:val="1"/>
      <w:sz w:val="28"/>
      <w:szCs w:val="28"/>
      <w:lang w:eastAsia="hi-IN" w:bidi="hi-IN"/>
    </w:rPr>
  </w:style>
  <w:style w:type="character" w:customStyle="1" w:styleId="60">
    <w:name w:val="Заголовок 6 Знак"/>
    <w:basedOn w:val="a2"/>
    <w:link w:val="6"/>
    <w:rsid w:val="00C07A86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2"/>
    <w:link w:val="7"/>
    <w:rsid w:val="00C07A8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C07A86"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No Spacing"/>
    <w:uiPriority w:val="1"/>
    <w:qFormat/>
    <w:rsid w:val="004507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0"/>
    <w:uiPriority w:val="34"/>
    <w:qFormat/>
    <w:rsid w:val="004E7768"/>
    <w:pPr>
      <w:ind w:left="720"/>
      <w:contextualSpacing/>
    </w:pPr>
  </w:style>
  <w:style w:type="paragraph" w:styleId="a8">
    <w:name w:val="Plain Text"/>
    <w:basedOn w:val="a0"/>
    <w:link w:val="a9"/>
    <w:rsid w:val="00C07A8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2"/>
    <w:link w:val="a8"/>
    <w:rsid w:val="00C07A8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0"/>
    <w:link w:val="ab"/>
    <w:rsid w:val="00C07A8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b">
    <w:name w:val="Верхний колонтитул Знак"/>
    <w:basedOn w:val="a2"/>
    <w:link w:val="aa"/>
    <w:rsid w:val="00C07A86"/>
    <w:rPr>
      <w:rFonts w:ascii="Calibri" w:eastAsia="Times New Roman" w:hAnsi="Calibri" w:cs="Calibri"/>
    </w:rPr>
  </w:style>
  <w:style w:type="paragraph" w:styleId="ac">
    <w:name w:val="footer"/>
    <w:basedOn w:val="a0"/>
    <w:link w:val="ad"/>
    <w:rsid w:val="00C07A8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d">
    <w:name w:val="Нижний колонтитул Знак"/>
    <w:basedOn w:val="a2"/>
    <w:link w:val="ac"/>
    <w:rsid w:val="00C07A86"/>
    <w:rPr>
      <w:rFonts w:ascii="Calibri" w:eastAsia="Times New Roman" w:hAnsi="Calibri" w:cs="Calibri"/>
    </w:rPr>
  </w:style>
  <w:style w:type="paragraph" w:customStyle="1" w:styleId="12">
    <w:name w:val="Абзац списка1"/>
    <w:basedOn w:val="a0"/>
    <w:rsid w:val="00C07A86"/>
    <w:pPr>
      <w:ind w:left="720"/>
    </w:pPr>
    <w:rPr>
      <w:rFonts w:ascii="Calibri" w:eastAsia="Times New Roman" w:hAnsi="Calibri" w:cs="Calibri"/>
    </w:rPr>
  </w:style>
  <w:style w:type="paragraph" w:styleId="ae">
    <w:name w:val="Normal (Web)"/>
    <w:basedOn w:val="a0"/>
    <w:uiPriority w:val="99"/>
    <w:rsid w:val="00C07A86"/>
    <w:pPr>
      <w:spacing w:after="0" w:line="360" w:lineRule="auto"/>
      <w:ind w:left="1080" w:firstLine="709"/>
      <w:jc w:val="both"/>
    </w:pPr>
    <w:rPr>
      <w:rFonts w:ascii="Times New Roman" w:eastAsia="Times New Roman" w:hAnsi="Times New Roman" w:cs="Times New Roman"/>
      <w:spacing w:val="-5"/>
      <w:sz w:val="28"/>
      <w:szCs w:val="28"/>
    </w:rPr>
  </w:style>
  <w:style w:type="character" w:customStyle="1" w:styleId="21">
    <w:name w:val="Основной текст с отступом 2 Знак"/>
    <w:basedOn w:val="a2"/>
    <w:link w:val="22"/>
    <w:semiHidden/>
    <w:rsid w:val="00C07A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1"/>
    <w:semiHidden/>
    <w:rsid w:val="00C07A86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Мария"/>
    <w:basedOn w:val="a0"/>
    <w:rsid w:val="00C07A86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23">
    <w:name w:val="Основной текст 2 Знак"/>
    <w:basedOn w:val="a2"/>
    <w:link w:val="24"/>
    <w:semiHidden/>
    <w:rsid w:val="00C07A86"/>
    <w:rPr>
      <w:rFonts w:ascii="Calibri" w:eastAsia="Times New Roman" w:hAnsi="Calibri" w:cs="Calibri"/>
    </w:rPr>
  </w:style>
  <w:style w:type="paragraph" w:styleId="24">
    <w:name w:val="Body Text 2"/>
    <w:basedOn w:val="a0"/>
    <w:link w:val="23"/>
    <w:semiHidden/>
    <w:rsid w:val="00C07A86"/>
    <w:pPr>
      <w:spacing w:after="120" w:line="480" w:lineRule="auto"/>
    </w:pPr>
    <w:rPr>
      <w:rFonts w:ascii="Calibri" w:eastAsia="Times New Roman" w:hAnsi="Calibri" w:cs="Calibri"/>
    </w:rPr>
  </w:style>
  <w:style w:type="paragraph" w:customStyle="1" w:styleId="af0">
    <w:name w:val="Первый уровень"/>
    <w:basedOn w:val="12"/>
    <w:next w:val="a0"/>
    <w:rsid w:val="00C07A86"/>
    <w:pPr>
      <w:pageBreakBefore/>
      <w:spacing w:after="240" w:line="312" w:lineRule="auto"/>
      <w:ind w:left="360" w:hanging="360"/>
      <w:jc w:val="center"/>
    </w:pPr>
    <w:rPr>
      <w:rFonts w:ascii="Times New Roman" w:hAnsi="Times New Roman" w:cs="Times New Roman"/>
      <w:b/>
      <w:sz w:val="28"/>
    </w:rPr>
  </w:style>
  <w:style w:type="paragraph" w:customStyle="1" w:styleId="af1">
    <w:name w:val="Второй уровень"/>
    <w:basedOn w:val="12"/>
    <w:rsid w:val="00C07A86"/>
    <w:pPr>
      <w:spacing w:before="120" w:after="120" w:line="312" w:lineRule="auto"/>
      <w:ind w:left="792" w:hanging="432"/>
      <w:jc w:val="center"/>
    </w:pPr>
    <w:rPr>
      <w:rFonts w:ascii="Times New Roman" w:hAnsi="Times New Roman" w:cs="Times New Roman"/>
      <w:b/>
      <w:sz w:val="24"/>
    </w:rPr>
  </w:style>
  <w:style w:type="character" w:customStyle="1" w:styleId="af2">
    <w:name w:val="Текст выноски Знак"/>
    <w:basedOn w:val="a2"/>
    <w:link w:val="af3"/>
    <w:semiHidden/>
    <w:rsid w:val="00C07A86"/>
    <w:rPr>
      <w:rFonts w:ascii="Tahoma" w:eastAsia="Times New Roman" w:hAnsi="Tahoma" w:cs="Tahoma"/>
      <w:sz w:val="16"/>
      <w:szCs w:val="16"/>
    </w:rPr>
  </w:style>
  <w:style w:type="paragraph" w:styleId="af3">
    <w:name w:val="Balloon Text"/>
    <w:basedOn w:val="a0"/>
    <w:link w:val="af2"/>
    <w:semiHidden/>
    <w:rsid w:val="00C07A8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f4">
    <w:name w:val="caption"/>
    <w:basedOn w:val="a0"/>
    <w:next w:val="a0"/>
    <w:link w:val="af5"/>
    <w:qFormat/>
    <w:rsid w:val="00C07A86"/>
    <w:rPr>
      <w:rFonts w:ascii="Calibri" w:eastAsia="Times New Roman" w:hAnsi="Calibri" w:cs="Calibri"/>
      <w:b/>
      <w:bCs/>
      <w:sz w:val="20"/>
      <w:szCs w:val="20"/>
    </w:rPr>
  </w:style>
  <w:style w:type="character" w:customStyle="1" w:styleId="af5">
    <w:name w:val="Название объекта Знак"/>
    <w:link w:val="af4"/>
    <w:locked/>
    <w:rsid w:val="00C07A86"/>
    <w:rPr>
      <w:rFonts w:ascii="Calibri" w:eastAsia="Times New Roman" w:hAnsi="Calibri" w:cs="Calibri"/>
      <w:b/>
      <w:bCs/>
      <w:sz w:val="20"/>
      <w:szCs w:val="20"/>
    </w:rPr>
  </w:style>
  <w:style w:type="paragraph" w:customStyle="1" w:styleId="ConsPlusNormal">
    <w:name w:val="ConsPlusNormal"/>
    <w:rsid w:val="00C07A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07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Char Знак Знак Знак"/>
    <w:basedOn w:val="a0"/>
    <w:rsid w:val="00C07A8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tyle4">
    <w:name w:val="Style4"/>
    <w:basedOn w:val="a0"/>
    <w:rsid w:val="00C07A86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">
    <w:name w:val="Font Style28"/>
    <w:rsid w:val="00C07A86"/>
    <w:rPr>
      <w:rFonts w:ascii="Arial" w:hAnsi="Arial" w:cs="Arial"/>
      <w:sz w:val="24"/>
      <w:szCs w:val="24"/>
    </w:rPr>
  </w:style>
  <w:style w:type="character" w:customStyle="1" w:styleId="FontStyle33">
    <w:name w:val="Font Style33"/>
    <w:rsid w:val="00C07A86"/>
    <w:rPr>
      <w:rFonts w:ascii="Arial Narrow" w:hAnsi="Arial Narrow" w:cs="Arial Narrow"/>
      <w:sz w:val="24"/>
      <w:szCs w:val="24"/>
    </w:rPr>
  </w:style>
  <w:style w:type="paragraph" w:styleId="af6">
    <w:name w:val="Title"/>
    <w:basedOn w:val="a0"/>
    <w:link w:val="af7"/>
    <w:qFormat/>
    <w:rsid w:val="00C07A86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7">
    <w:name w:val="Название Знак"/>
    <w:basedOn w:val="a2"/>
    <w:link w:val="af6"/>
    <w:rsid w:val="00C07A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">
    <w:name w:val="List Bullet"/>
    <w:basedOn w:val="a0"/>
    <w:rsid w:val="00C07A86"/>
    <w:pPr>
      <w:widowControl w:val="0"/>
      <w:numPr>
        <w:numId w:val="4"/>
      </w:numPr>
      <w:tabs>
        <w:tab w:val="clear" w:pos="284"/>
        <w:tab w:val="left" w:pos="357"/>
      </w:tabs>
      <w:autoSpaceDE w:val="0"/>
      <w:autoSpaceDN w:val="0"/>
      <w:adjustRightInd w:val="0"/>
      <w:spacing w:before="120" w:after="0" w:line="240" w:lineRule="auto"/>
      <w:ind w:left="357" w:hanging="35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8">
    <w:name w:val="Body Text Indent"/>
    <w:basedOn w:val="a0"/>
    <w:link w:val="af9"/>
    <w:rsid w:val="00C07A8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2"/>
    <w:link w:val="af8"/>
    <w:rsid w:val="00C07A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0"/>
    <w:link w:val="S0"/>
    <w:autoRedefine/>
    <w:rsid w:val="00C07A86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 w:cs="Times New Roman"/>
      <w:bCs/>
      <w:color w:val="000000"/>
      <w:sz w:val="28"/>
      <w:szCs w:val="28"/>
      <w:lang w:eastAsia="ar-SA"/>
    </w:rPr>
  </w:style>
  <w:style w:type="character" w:customStyle="1" w:styleId="S0">
    <w:name w:val="S_Обычный Знак"/>
    <w:link w:val="S"/>
    <w:locked/>
    <w:rsid w:val="00C07A86"/>
    <w:rPr>
      <w:rFonts w:ascii="Times New Roman" w:eastAsia="MS Mincho" w:hAnsi="Times New Roman" w:cs="Times New Roman"/>
      <w:bCs/>
      <w:color w:val="000000"/>
      <w:sz w:val="28"/>
      <w:szCs w:val="28"/>
      <w:lang w:eastAsia="ar-SA"/>
    </w:rPr>
  </w:style>
  <w:style w:type="character" w:customStyle="1" w:styleId="S1">
    <w:name w:val="S_Маркированный Знак1"/>
    <w:link w:val="S2"/>
    <w:locked/>
    <w:rsid w:val="00C07A86"/>
    <w:rPr>
      <w:rFonts w:ascii="Times New Roman" w:hAnsi="Times New Roman" w:cs="Times New Roman"/>
      <w:sz w:val="24"/>
      <w:szCs w:val="24"/>
    </w:rPr>
  </w:style>
  <w:style w:type="paragraph" w:customStyle="1" w:styleId="S2">
    <w:name w:val="S_Маркированный"/>
    <w:basedOn w:val="a"/>
    <w:link w:val="S1"/>
    <w:autoRedefine/>
    <w:rsid w:val="00C07A86"/>
    <w:pPr>
      <w:widowControl/>
      <w:numPr>
        <w:numId w:val="0"/>
      </w:numPr>
      <w:spacing w:before="0" w:line="360" w:lineRule="auto"/>
      <w:ind w:firstLine="709"/>
    </w:pPr>
    <w:rPr>
      <w:rFonts w:eastAsiaTheme="minorHAnsi"/>
      <w:sz w:val="24"/>
      <w:szCs w:val="24"/>
      <w:lang w:eastAsia="en-US"/>
    </w:rPr>
  </w:style>
  <w:style w:type="paragraph" w:styleId="HTML">
    <w:name w:val="HTML Preformatted"/>
    <w:basedOn w:val="a0"/>
    <w:link w:val="HTML0"/>
    <w:rsid w:val="00C07A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C07A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0"/>
    <w:rsid w:val="00C07A86"/>
    <w:pPr>
      <w:spacing w:before="100" w:beforeAutospacing="1" w:after="115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afa">
    <w:name w:val="Знак"/>
    <w:basedOn w:val="a0"/>
    <w:rsid w:val="00C07A8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">
    <w:name w:val="Маркированный список1 Знак Знак"/>
    <w:basedOn w:val="afb"/>
    <w:rsid w:val="00C07A86"/>
    <w:pPr>
      <w:numPr>
        <w:numId w:val="5"/>
      </w:numPr>
    </w:pPr>
    <w:rPr>
      <w:rFonts w:cs="Times New Roman"/>
    </w:rPr>
  </w:style>
  <w:style w:type="paragraph" w:styleId="afb">
    <w:name w:val="List"/>
    <w:basedOn w:val="a0"/>
    <w:semiHidden/>
    <w:rsid w:val="00C07A86"/>
    <w:pPr>
      <w:ind w:left="283" w:hanging="283"/>
    </w:pPr>
    <w:rPr>
      <w:rFonts w:ascii="Calibri" w:eastAsia="Times New Roman" w:hAnsi="Calibri" w:cs="Calibri"/>
    </w:rPr>
  </w:style>
  <w:style w:type="character" w:customStyle="1" w:styleId="afc">
    <w:name w:val="Текст примечания Знак"/>
    <w:basedOn w:val="a2"/>
    <w:link w:val="afd"/>
    <w:semiHidden/>
    <w:rsid w:val="00C07A86"/>
    <w:rPr>
      <w:rFonts w:ascii="Calibri" w:eastAsia="Times New Roman" w:hAnsi="Calibri" w:cs="Calibri"/>
      <w:sz w:val="20"/>
      <w:szCs w:val="20"/>
    </w:rPr>
  </w:style>
  <w:style w:type="paragraph" w:styleId="afd">
    <w:name w:val="annotation text"/>
    <w:basedOn w:val="a0"/>
    <w:link w:val="afc"/>
    <w:semiHidden/>
    <w:rsid w:val="00C07A86"/>
    <w:rPr>
      <w:rFonts w:ascii="Calibri" w:eastAsia="Times New Roman" w:hAnsi="Calibri" w:cs="Calibri"/>
      <w:sz w:val="20"/>
      <w:szCs w:val="20"/>
    </w:rPr>
  </w:style>
  <w:style w:type="character" w:customStyle="1" w:styleId="afe">
    <w:name w:val="Тема примечания Знак"/>
    <w:basedOn w:val="afc"/>
    <w:link w:val="aff"/>
    <w:semiHidden/>
    <w:rsid w:val="00C07A86"/>
    <w:rPr>
      <w:b/>
      <w:bCs/>
    </w:rPr>
  </w:style>
  <w:style w:type="paragraph" w:styleId="aff">
    <w:name w:val="annotation subject"/>
    <w:basedOn w:val="afd"/>
    <w:next w:val="afd"/>
    <w:link w:val="afe"/>
    <w:semiHidden/>
    <w:rsid w:val="00C07A86"/>
    <w:rPr>
      <w:b/>
      <w:bCs/>
    </w:rPr>
  </w:style>
  <w:style w:type="paragraph" w:customStyle="1" w:styleId="13">
    <w:name w:val="Без интервала1"/>
    <w:rsid w:val="00C07A86"/>
    <w:pPr>
      <w:suppressAutoHyphens/>
      <w:spacing w:after="0" w:line="240" w:lineRule="auto"/>
      <w:jc w:val="both"/>
    </w:pPr>
    <w:rPr>
      <w:rFonts w:ascii="Calibri" w:eastAsia="Times New Roman" w:hAnsi="Calibri" w:cs="Times New Roman"/>
      <w:lang w:eastAsia="ar-SA"/>
    </w:rPr>
  </w:style>
  <w:style w:type="paragraph" w:customStyle="1" w:styleId="Standard">
    <w:name w:val="Standard"/>
    <w:rsid w:val="00C07A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customStyle="1" w:styleId="14">
    <w:name w:val="Основной текст1"/>
    <w:basedOn w:val="Standard"/>
    <w:rsid w:val="00C07A86"/>
    <w:pPr>
      <w:shd w:val="clear" w:color="auto" w:fill="FFFFFF"/>
      <w:spacing w:before="240" w:after="60" w:line="283" w:lineRule="exact"/>
      <w:ind w:hanging="360"/>
    </w:pPr>
    <w:rPr>
      <w:rFonts w:cs="Times New Roman"/>
      <w:sz w:val="23"/>
      <w:szCs w:val="23"/>
    </w:rPr>
  </w:style>
  <w:style w:type="character" w:styleId="aff0">
    <w:name w:val="Hyperlink"/>
    <w:uiPriority w:val="99"/>
    <w:rsid w:val="00C07A86"/>
    <w:rPr>
      <w:rFonts w:cs="Times New Roman"/>
      <w:color w:val="0000FF"/>
      <w:u w:val="single"/>
    </w:rPr>
  </w:style>
  <w:style w:type="paragraph" w:styleId="15">
    <w:name w:val="toc 1"/>
    <w:basedOn w:val="a0"/>
    <w:next w:val="a0"/>
    <w:autoRedefine/>
    <w:semiHidden/>
    <w:rsid w:val="00C07A86"/>
    <w:pPr>
      <w:tabs>
        <w:tab w:val="left" w:pos="440"/>
        <w:tab w:val="right" w:leader="dot" w:pos="9781"/>
      </w:tabs>
      <w:spacing w:before="120" w:after="0" w:line="240" w:lineRule="auto"/>
      <w:ind w:right="851"/>
    </w:pPr>
    <w:rPr>
      <w:rFonts w:ascii="Calibri" w:eastAsia="Times New Roman" w:hAnsi="Calibri" w:cs="Calibri"/>
      <w:b/>
      <w:bCs/>
      <w:sz w:val="20"/>
      <w:szCs w:val="20"/>
    </w:rPr>
  </w:style>
  <w:style w:type="paragraph" w:styleId="25">
    <w:name w:val="toc 2"/>
    <w:basedOn w:val="a0"/>
    <w:next w:val="a0"/>
    <w:autoRedefine/>
    <w:uiPriority w:val="39"/>
    <w:rsid w:val="00C07A86"/>
    <w:pPr>
      <w:tabs>
        <w:tab w:val="right" w:leader="dot" w:pos="9790"/>
      </w:tabs>
      <w:spacing w:before="120" w:after="0" w:line="200" w:lineRule="atLeast"/>
      <w:ind w:right="444"/>
    </w:pPr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paragraph" w:styleId="31">
    <w:name w:val="toc 3"/>
    <w:basedOn w:val="a0"/>
    <w:next w:val="a0"/>
    <w:autoRedefine/>
    <w:uiPriority w:val="39"/>
    <w:rsid w:val="00C07A86"/>
    <w:pPr>
      <w:tabs>
        <w:tab w:val="right" w:leader="dot" w:pos="9790"/>
      </w:tabs>
      <w:spacing w:after="0"/>
      <w:ind w:left="284" w:right="-427"/>
    </w:pPr>
    <w:rPr>
      <w:rFonts w:ascii="Times New Roman" w:eastAsia="Times New Roman" w:hAnsi="Times New Roman" w:cs="Calibri"/>
      <w:i/>
      <w:noProof/>
    </w:rPr>
  </w:style>
  <w:style w:type="paragraph" w:customStyle="1" w:styleId="aff1">
    <w:name w:val="Заголовок"/>
    <w:basedOn w:val="a0"/>
    <w:next w:val="a1"/>
    <w:rsid w:val="00C07A86"/>
    <w:pPr>
      <w:keepNext/>
      <w:suppressAutoHyphens/>
      <w:spacing w:before="240" w:after="60" w:line="240" w:lineRule="auto"/>
      <w:jc w:val="center"/>
    </w:pPr>
    <w:rPr>
      <w:rFonts w:ascii="Cambria" w:eastAsia="Times New Roman" w:hAnsi="Cambria" w:cs="Mangal"/>
      <w:b/>
      <w:bCs/>
      <w:kern w:val="1"/>
      <w:sz w:val="32"/>
      <w:szCs w:val="32"/>
      <w:lang w:val="en-US"/>
    </w:rPr>
  </w:style>
  <w:style w:type="paragraph" w:customStyle="1" w:styleId="16">
    <w:name w:val="Текст1"/>
    <w:basedOn w:val="a0"/>
    <w:rsid w:val="00C07A86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val="en-US"/>
    </w:rPr>
  </w:style>
  <w:style w:type="paragraph" w:customStyle="1" w:styleId="17">
    <w:name w:val="Обычный (веб)1"/>
    <w:basedOn w:val="a0"/>
    <w:rsid w:val="00C07A86"/>
    <w:pPr>
      <w:suppressAutoHyphens/>
      <w:spacing w:after="0" w:line="360" w:lineRule="auto"/>
      <w:ind w:left="1080" w:firstLine="709"/>
      <w:jc w:val="both"/>
    </w:pPr>
    <w:rPr>
      <w:rFonts w:ascii="Times New Roman" w:eastAsia="Times New Roman" w:hAnsi="Times New Roman" w:cs="Calibri"/>
      <w:spacing w:val="-5"/>
      <w:kern w:val="1"/>
      <w:sz w:val="28"/>
      <w:szCs w:val="28"/>
      <w:lang w:val="en-US"/>
    </w:rPr>
  </w:style>
  <w:style w:type="paragraph" w:customStyle="1" w:styleId="18">
    <w:name w:val="Заголовок оглавления1"/>
    <w:basedOn w:val="1"/>
    <w:next w:val="a0"/>
    <w:rsid w:val="00C07A86"/>
    <w:pPr>
      <w:numPr>
        <w:numId w:val="0"/>
      </w:numPr>
      <w:spacing w:line="276" w:lineRule="auto"/>
      <w:jc w:val="left"/>
      <w:outlineLvl w:val="9"/>
    </w:pPr>
    <w:rPr>
      <w:rFonts w:cs="Times New Roman"/>
    </w:rPr>
  </w:style>
  <w:style w:type="paragraph" w:customStyle="1" w:styleId="19">
    <w:name w:val="Обычный1"/>
    <w:link w:val="Normal"/>
    <w:rsid w:val="00C07A86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9"/>
    <w:locked/>
    <w:rsid w:val="00C07A86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2">
    <w:name w:val="Схема документа Знак"/>
    <w:basedOn w:val="a2"/>
    <w:link w:val="aff3"/>
    <w:semiHidden/>
    <w:rsid w:val="00C07A86"/>
    <w:rPr>
      <w:rFonts w:ascii="Tahoma" w:eastAsia="Times New Roman" w:hAnsi="Tahoma" w:cs="Tahoma"/>
      <w:sz w:val="16"/>
      <w:szCs w:val="16"/>
    </w:rPr>
  </w:style>
  <w:style w:type="paragraph" w:styleId="aff3">
    <w:name w:val="Document Map"/>
    <w:basedOn w:val="a0"/>
    <w:link w:val="aff2"/>
    <w:semiHidden/>
    <w:rsid w:val="00C07A86"/>
    <w:rPr>
      <w:rFonts w:ascii="Tahoma" w:eastAsia="Times New Roman" w:hAnsi="Tahoma" w:cs="Tahoma"/>
      <w:sz w:val="16"/>
      <w:szCs w:val="16"/>
    </w:rPr>
  </w:style>
  <w:style w:type="character" w:styleId="aff4">
    <w:name w:val="Strong"/>
    <w:qFormat/>
    <w:rsid w:val="00C07A86"/>
    <w:rPr>
      <w:rFonts w:cs="Times New Roman"/>
      <w:b/>
      <w:bCs/>
    </w:rPr>
  </w:style>
  <w:style w:type="paragraph" w:customStyle="1" w:styleId="aff5">
    <w:name w:val="Знак Знак Знак Знак"/>
    <w:basedOn w:val="a0"/>
    <w:rsid w:val="00C07A8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3">
    <w:name w:val="S_Маркированный Знак"/>
    <w:locked/>
    <w:rsid w:val="00C07A86"/>
    <w:rPr>
      <w:rFonts w:ascii="Times New Roman" w:hAnsi="Times New Roman" w:cs="Times New Roman"/>
      <w:sz w:val="24"/>
      <w:szCs w:val="24"/>
    </w:rPr>
  </w:style>
  <w:style w:type="character" w:customStyle="1" w:styleId="180">
    <w:name w:val="Знак Знак18"/>
    <w:locked/>
    <w:rsid w:val="00C07A86"/>
    <w:rPr>
      <w:rFonts w:ascii="Courier New" w:hAnsi="Courier New" w:cs="Courier New"/>
      <w:sz w:val="20"/>
      <w:szCs w:val="20"/>
    </w:rPr>
  </w:style>
  <w:style w:type="paragraph" w:customStyle="1" w:styleId="Style2">
    <w:name w:val="Style2"/>
    <w:basedOn w:val="a0"/>
    <w:rsid w:val="00C07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0"/>
    <w:rsid w:val="00C07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rsid w:val="00C07A86"/>
    <w:rPr>
      <w:rFonts w:ascii="Trebuchet MS" w:hAnsi="Trebuchet MS" w:cs="Trebuchet MS"/>
      <w:b/>
      <w:bCs/>
      <w:sz w:val="12"/>
      <w:szCs w:val="12"/>
    </w:rPr>
  </w:style>
  <w:style w:type="paragraph" w:customStyle="1" w:styleId="aff6">
    <w:name w:val="a"/>
    <w:basedOn w:val="a0"/>
    <w:rsid w:val="00C07A8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C07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4">
    <w:name w:val="Font Style14"/>
    <w:rsid w:val="00C07A86"/>
    <w:rPr>
      <w:rFonts w:ascii="Arial" w:hAnsi="Arial" w:cs="Arial"/>
      <w:b/>
      <w:bCs/>
      <w:sz w:val="22"/>
      <w:szCs w:val="22"/>
    </w:rPr>
  </w:style>
  <w:style w:type="character" w:customStyle="1" w:styleId="FontStyle16">
    <w:name w:val="Font Style16"/>
    <w:rsid w:val="00C07A86"/>
    <w:rPr>
      <w:rFonts w:ascii="Arial" w:hAnsi="Arial" w:cs="Arial"/>
      <w:sz w:val="22"/>
      <w:szCs w:val="22"/>
    </w:rPr>
  </w:style>
  <w:style w:type="character" w:customStyle="1" w:styleId="FontStyle18">
    <w:name w:val="Font Style18"/>
    <w:rsid w:val="00C07A86"/>
    <w:rPr>
      <w:rFonts w:ascii="Trebuchet MS" w:hAnsi="Trebuchet MS" w:cs="Trebuchet MS"/>
      <w:sz w:val="22"/>
      <w:szCs w:val="22"/>
    </w:rPr>
  </w:style>
  <w:style w:type="paragraph" w:customStyle="1" w:styleId="26">
    <w:name w:val="Стиль &quot;З&quot;2"/>
    <w:basedOn w:val="a0"/>
    <w:link w:val="27"/>
    <w:rsid w:val="00C07A86"/>
    <w:pPr>
      <w:keepNext/>
      <w:suppressAutoHyphens/>
      <w:spacing w:before="240" w:after="60" w:line="240" w:lineRule="auto"/>
      <w:ind w:left="450" w:hanging="450"/>
      <w:outlineLvl w:val="2"/>
    </w:pPr>
    <w:rPr>
      <w:rFonts w:ascii="Times New Roman" w:eastAsia="Times New Roman" w:hAnsi="Times New Roman" w:cs="Calibri"/>
      <w:b/>
      <w:kern w:val="1"/>
      <w:sz w:val="26"/>
      <w:szCs w:val="20"/>
      <w:lang w:eastAsia="hi-IN" w:bidi="hi-IN"/>
    </w:rPr>
  </w:style>
  <w:style w:type="character" w:customStyle="1" w:styleId="27">
    <w:name w:val="Стиль &quot;З&quot;2 Знак"/>
    <w:link w:val="26"/>
    <w:locked/>
    <w:rsid w:val="00C07A86"/>
    <w:rPr>
      <w:rFonts w:ascii="Times New Roman" w:eastAsia="Times New Roman" w:hAnsi="Times New Roman" w:cs="Calibri"/>
      <w:b/>
      <w:kern w:val="1"/>
      <w:sz w:val="26"/>
      <w:szCs w:val="20"/>
      <w:lang w:eastAsia="hi-IN" w:bidi="hi-IN"/>
    </w:rPr>
  </w:style>
  <w:style w:type="paragraph" w:customStyle="1" w:styleId="is">
    <w:name w:val="is"/>
    <w:basedOn w:val="a0"/>
    <w:rsid w:val="00C0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4">
    <w:name w:val="Font Style24"/>
    <w:rsid w:val="00C07A86"/>
    <w:rPr>
      <w:rFonts w:ascii="Arial Narrow" w:hAnsi="Arial Narrow" w:cs="Arial Narrow"/>
      <w:sz w:val="28"/>
      <w:szCs w:val="28"/>
    </w:rPr>
  </w:style>
  <w:style w:type="character" w:customStyle="1" w:styleId="51">
    <w:name w:val="Основной текст (5)_"/>
    <w:link w:val="52"/>
    <w:locked/>
    <w:rsid w:val="00C07A86"/>
    <w:rPr>
      <w:rFonts w:cs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C07A86"/>
    <w:pPr>
      <w:shd w:val="clear" w:color="auto" w:fill="FFFFFF"/>
      <w:spacing w:before="120" w:after="0" w:line="259" w:lineRule="exact"/>
    </w:pPr>
    <w:rPr>
      <w:rFonts w:cs="Times New Roman"/>
      <w:sz w:val="21"/>
      <w:szCs w:val="21"/>
      <w:shd w:val="clear" w:color="auto" w:fill="FFFFFF"/>
    </w:rPr>
  </w:style>
  <w:style w:type="character" w:customStyle="1" w:styleId="120">
    <w:name w:val="Основной текст (12)_"/>
    <w:link w:val="121"/>
    <w:locked/>
    <w:rsid w:val="00C07A86"/>
    <w:rPr>
      <w:rFonts w:cs="Times New Roman"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rsid w:val="00C07A86"/>
    <w:pPr>
      <w:shd w:val="clear" w:color="auto" w:fill="FFFFFF"/>
      <w:spacing w:before="240" w:after="240" w:line="254" w:lineRule="exact"/>
      <w:ind w:hanging="1940"/>
      <w:jc w:val="center"/>
    </w:pPr>
    <w:rPr>
      <w:rFonts w:cs="Times New Roman"/>
      <w:sz w:val="21"/>
      <w:szCs w:val="21"/>
      <w:shd w:val="clear" w:color="auto" w:fill="FFFFFF"/>
    </w:rPr>
  </w:style>
  <w:style w:type="character" w:customStyle="1" w:styleId="28">
    <w:name w:val="Подпись к таблице (2)_"/>
    <w:link w:val="29"/>
    <w:locked/>
    <w:rsid w:val="00C07A86"/>
    <w:rPr>
      <w:rFonts w:cs="Times New Roman"/>
      <w:sz w:val="23"/>
      <w:szCs w:val="23"/>
      <w:shd w:val="clear" w:color="auto" w:fill="FFFFFF"/>
    </w:rPr>
  </w:style>
  <w:style w:type="paragraph" w:customStyle="1" w:styleId="29">
    <w:name w:val="Подпись к таблице (2)"/>
    <w:basedOn w:val="a0"/>
    <w:link w:val="28"/>
    <w:rsid w:val="00C07A86"/>
    <w:pPr>
      <w:shd w:val="clear" w:color="auto" w:fill="FFFFFF"/>
      <w:spacing w:after="0" w:line="240" w:lineRule="atLeast"/>
    </w:pPr>
    <w:rPr>
      <w:rFonts w:cs="Times New Roman"/>
      <w:sz w:val="23"/>
      <w:szCs w:val="23"/>
      <w:shd w:val="clear" w:color="auto" w:fill="FFFFFF"/>
    </w:rPr>
  </w:style>
  <w:style w:type="character" w:customStyle="1" w:styleId="FontStyle32">
    <w:name w:val="Font Style32"/>
    <w:rsid w:val="00C07A86"/>
    <w:rPr>
      <w:rFonts w:ascii="Verdana" w:hAnsi="Verdana" w:cs="Verdana"/>
      <w:b/>
      <w:bCs/>
      <w:sz w:val="16"/>
      <w:szCs w:val="16"/>
    </w:rPr>
  </w:style>
  <w:style w:type="character" w:customStyle="1" w:styleId="aff7">
    <w:name w:val="Подпись к таблице_"/>
    <w:link w:val="aff8"/>
    <w:rsid w:val="00C07A86"/>
    <w:rPr>
      <w:sz w:val="21"/>
      <w:szCs w:val="21"/>
      <w:shd w:val="clear" w:color="auto" w:fill="FFFFFF"/>
    </w:rPr>
  </w:style>
  <w:style w:type="paragraph" w:customStyle="1" w:styleId="aff8">
    <w:name w:val="Подпись к таблице"/>
    <w:basedOn w:val="a0"/>
    <w:link w:val="aff7"/>
    <w:rsid w:val="00C07A86"/>
    <w:pPr>
      <w:shd w:val="clear" w:color="auto" w:fill="FFFFFF"/>
      <w:spacing w:after="0" w:line="250" w:lineRule="exact"/>
      <w:ind w:hanging="1400"/>
    </w:pPr>
    <w:rPr>
      <w:sz w:val="21"/>
      <w:szCs w:val="21"/>
      <w:shd w:val="clear" w:color="auto" w:fill="FFFFFF"/>
    </w:rPr>
  </w:style>
  <w:style w:type="paragraph" w:customStyle="1" w:styleId="2a">
    <w:name w:val="Обычный2"/>
    <w:rsid w:val="00C07A86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uiPriority w:val="99"/>
    <w:rsid w:val="00C07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0">
    <w:name w:val="Знак Знак20"/>
    <w:rsid w:val="00C07A8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C07A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9">
    <w:name w:val="Book Title"/>
    <w:uiPriority w:val="33"/>
    <w:qFormat/>
    <w:rsid w:val="00C07A86"/>
    <w:rPr>
      <w:b/>
      <w:bCs/>
      <w:smallCaps/>
      <w:spacing w:val="5"/>
    </w:rPr>
  </w:style>
  <w:style w:type="character" w:customStyle="1" w:styleId="1a">
    <w:name w:val="Текст Знак1"/>
    <w:locked/>
    <w:rsid w:val="007C327A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51</Pages>
  <Words>13355</Words>
  <Characters>76127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2014-06-26T04:39:00Z</dcterms:created>
  <dcterms:modified xsi:type="dcterms:W3CDTF">2014-08-21T08:32:00Z</dcterms:modified>
</cp:coreProperties>
</file>